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8B55" w14:textId="77777777" w:rsidR="000E1504" w:rsidRPr="00312347" w:rsidRDefault="000E1504" w:rsidP="00756701">
      <w:pPr>
        <w:pStyle w:val="Titel"/>
        <w:spacing w:line="276" w:lineRule="auto"/>
        <w:jc w:val="center"/>
        <w:rPr>
          <w:rFonts w:asciiTheme="minorHAnsi" w:hAnsiTheme="minorHAnsi" w:cstheme="minorHAnsi"/>
          <w:color w:val="3871C1"/>
          <w:sz w:val="50"/>
          <w:lang w:val="en-US"/>
        </w:rPr>
      </w:pPr>
      <w:bookmarkStart w:id="0" w:name="_Hlk2678509"/>
    </w:p>
    <w:p w14:paraId="21683544" w14:textId="36C2FB5C" w:rsidR="00212A86" w:rsidRPr="00312347" w:rsidRDefault="008B563A" w:rsidP="00756701">
      <w:pPr>
        <w:pStyle w:val="Titel"/>
        <w:spacing w:line="276" w:lineRule="auto"/>
        <w:jc w:val="center"/>
        <w:rPr>
          <w:rFonts w:asciiTheme="minorHAnsi" w:hAnsiTheme="minorHAnsi" w:cstheme="minorHAnsi"/>
          <w:color w:val="3871C1"/>
          <w:sz w:val="36"/>
          <w:lang w:val="en-US"/>
        </w:rPr>
      </w:pPr>
      <w:bookmarkStart w:id="1" w:name="_Toc2675623"/>
      <w:bookmarkStart w:id="2" w:name="_Toc2675642"/>
      <w:bookmarkStart w:id="3" w:name="_Toc2675695"/>
      <w:bookmarkEnd w:id="0"/>
      <w:bookmarkEnd w:id="1"/>
      <w:bookmarkEnd w:id="2"/>
      <w:bookmarkEnd w:id="3"/>
      <w:r w:rsidRPr="00312347">
        <w:rPr>
          <w:rFonts w:asciiTheme="minorHAnsi" w:hAnsiTheme="minorHAnsi" w:cstheme="minorHAnsi"/>
          <w:color w:val="3871C1"/>
          <w:sz w:val="50"/>
          <w:lang w:val="en-US"/>
        </w:rPr>
        <w:t xml:space="preserve">IFIEC response </w:t>
      </w:r>
      <w:r w:rsidR="001975EF">
        <w:rPr>
          <w:rFonts w:asciiTheme="minorHAnsi" w:hAnsiTheme="minorHAnsi" w:cstheme="minorHAnsi"/>
          <w:color w:val="3871C1"/>
          <w:sz w:val="50"/>
          <w:lang w:val="en-US"/>
        </w:rPr>
        <w:t>to</w:t>
      </w:r>
      <w:r w:rsidR="001975EF" w:rsidRPr="00312347">
        <w:rPr>
          <w:rFonts w:asciiTheme="minorHAnsi" w:hAnsiTheme="minorHAnsi" w:cstheme="minorHAnsi"/>
          <w:color w:val="3871C1"/>
          <w:sz w:val="50"/>
          <w:lang w:val="en-US"/>
        </w:rPr>
        <w:t xml:space="preserve"> </w:t>
      </w:r>
      <w:r w:rsidR="00D6668B" w:rsidRPr="00312347">
        <w:rPr>
          <w:rFonts w:asciiTheme="minorHAnsi" w:hAnsiTheme="minorHAnsi" w:cstheme="minorHAnsi"/>
          <w:color w:val="3871C1"/>
          <w:sz w:val="50"/>
          <w:lang w:val="en-US"/>
        </w:rPr>
        <w:t>EU Hydrogen strategy</w:t>
      </w:r>
    </w:p>
    <w:p w14:paraId="35D046AA" w14:textId="353B9BCA" w:rsidR="00EC1BF5" w:rsidRPr="00312347" w:rsidRDefault="00EC1BF5" w:rsidP="00EC1BF5">
      <w:pPr>
        <w:pStyle w:val="berschrift2"/>
        <w:ind w:left="576" w:hanging="576"/>
        <w:rPr>
          <w:rFonts w:asciiTheme="minorHAnsi" w:hAnsiTheme="minorHAnsi" w:cstheme="minorHAnsi"/>
          <w:lang w:val="en-GB"/>
        </w:rPr>
      </w:pPr>
    </w:p>
    <w:p w14:paraId="7B21E1F9" w14:textId="2AC12C1C" w:rsidR="00EC18EA" w:rsidRPr="00312347" w:rsidRDefault="00EC18EA" w:rsidP="005C0759">
      <w:pPr>
        <w:pStyle w:val="berschrift1"/>
        <w:rPr>
          <w:rFonts w:asciiTheme="minorHAnsi" w:hAnsiTheme="minorHAnsi" w:cstheme="minorHAnsi"/>
          <w:lang w:val="en-GB"/>
        </w:rPr>
      </w:pPr>
      <w:r w:rsidRPr="00312347">
        <w:rPr>
          <w:rFonts w:asciiTheme="minorHAnsi" w:hAnsiTheme="minorHAnsi" w:cstheme="minorHAnsi"/>
          <w:lang w:val="en-GB"/>
        </w:rPr>
        <w:t>Abstract:</w:t>
      </w:r>
    </w:p>
    <w:p w14:paraId="7C70DFC7" w14:textId="0A45C455" w:rsidR="003818FD" w:rsidRPr="00080559" w:rsidRDefault="00BF1C41" w:rsidP="00CA0290">
      <w:pPr>
        <w:rPr>
          <w:rFonts w:asciiTheme="minorHAnsi" w:hAnsiTheme="minorHAnsi" w:cstheme="minorHAnsi"/>
          <w:lang w:val="en-US"/>
        </w:rPr>
      </w:pPr>
      <w:r w:rsidRPr="00080559">
        <w:rPr>
          <w:rFonts w:asciiTheme="minorHAnsi" w:hAnsiTheme="minorHAnsi" w:cstheme="minorHAnsi"/>
          <w:lang w:val="en-GB"/>
        </w:rPr>
        <w:t xml:space="preserve">The European industry faces major challenges to reduce its emissions related to </w:t>
      </w:r>
      <w:r w:rsidR="00511502" w:rsidRPr="00080559">
        <w:rPr>
          <w:rFonts w:asciiTheme="minorHAnsi" w:hAnsiTheme="minorHAnsi" w:cstheme="minorHAnsi"/>
          <w:lang w:val="en-GB"/>
        </w:rPr>
        <w:t xml:space="preserve">both </w:t>
      </w:r>
      <w:r w:rsidRPr="00080559">
        <w:rPr>
          <w:rFonts w:asciiTheme="minorHAnsi" w:hAnsiTheme="minorHAnsi" w:cstheme="minorHAnsi"/>
          <w:lang w:val="en-GB"/>
        </w:rPr>
        <w:t>energy consumption and feedstock usage</w:t>
      </w:r>
      <w:r w:rsidR="00D22D61" w:rsidRPr="00080559">
        <w:rPr>
          <w:rFonts w:asciiTheme="minorHAnsi" w:hAnsiTheme="minorHAnsi" w:cstheme="minorHAnsi"/>
          <w:lang w:val="en-GB"/>
        </w:rPr>
        <w:t>. H</w:t>
      </w:r>
      <w:r w:rsidR="00C8054C" w:rsidRPr="00080559">
        <w:rPr>
          <w:rFonts w:asciiTheme="minorHAnsi" w:hAnsiTheme="minorHAnsi" w:cstheme="minorHAnsi"/>
          <w:lang w:val="en-GB"/>
        </w:rPr>
        <w:t xml:space="preserve">ydrogen </w:t>
      </w:r>
      <w:r w:rsidRPr="00080559">
        <w:rPr>
          <w:rFonts w:asciiTheme="minorHAnsi" w:hAnsiTheme="minorHAnsi" w:cstheme="minorHAnsi"/>
          <w:lang w:val="en-GB"/>
        </w:rPr>
        <w:t>will play a</w:t>
      </w:r>
      <w:r w:rsidR="00C8054C" w:rsidRPr="00080559">
        <w:rPr>
          <w:rFonts w:asciiTheme="minorHAnsi" w:hAnsiTheme="minorHAnsi" w:cstheme="minorHAnsi"/>
          <w:lang w:val="en-GB"/>
        </w:rPr>
        <w:t xml:space="preserve">n </w:t>
      </w:r>
      <w:r w:rsidR="009A7E44" w:rsidRPr="00080559">
        <w:rPr>
          <w:rFonts w:asciiTheme="minorHAnsi" w:hAnsiTheme="minorHAnsi" w:cstheme="minorHAnsi"/>
          <w:lang w:val="en-GB"/>
        </w:rPr>
        <w:t xml:space="preserve">important role </w:t>
      </w:r>
      <w:r w:rsidRPr="00080559">
        <w:rPr>
          <w:rFonts w:asciiTheme="minorHAnsi" w:hAnsiTheme="minorHAnsi" w:cstheme="minorHAnsi"/>
          <w:lang w:val="en-GB"/>
        </w:rPr>
        <w:t xml:space="preserve">towards a carbon neutral society. </w:t>
      </w:r>
      <w:r w:rsidR="009F677C" w:rsidRPr="00080559">
        <w:rPr>
          <w:rFonts w:asciiTheme="minorHAnsi" w:hAnsiTheme="minorHAnsi" w:cstheme="minorHAnsi"/>
          <w:lang w:val="en-US"/>
        </w:rPr>
        <w:t>A coherent EU industry and energy policy will be one of the ma</w:t>
      </w:r>
      <w:r w:rsidR="00E21929" w:rsidRPr="00080559">
        <w:rPr>
          <w:rFonts w:asciiTheme="minorHAnsi" w:hAnsiTheme="minorHAnsi" w:cstheme="minorHAnsi"/>
          <w:lang w:val="en-US"/>
        </w:rPr>
        <w:t>i</w:t>
      </w:r>
      <w:r w:rsidR="009F677C" w:rsidRPr="00080559">
        <w:rPr>
          <w:rFonts w:asciiTheme="minorHAnsi" w:hAnsiTheme="minorHAnsi" w:cstheme="minorHAnsi"/>
          <w:lang w:val="en-US"/>
        </w:rPr>
        <w:t xml:space="preserve">n </w:t>
      </w:r>
      <w:r w:rsidR="00F84758" w:rsidRPr="00080559">
        <w:rPr>
          <w:rFonts w:asciiTheme="minorHAnsi" w:hAnsiTheme="minorHAnsi" w:cstheme="minorHAnsi"/>
          <w:lang w:val="en-US"/>
        </w:rPr>
        <w:t>key success factors</w:t>
      </w:r>
      <w:r w:rsidR="00325989" w:rsidRPr="00080559">
        <w:rPr>
          <w:rFonts w:asciiTheme="minorHAnsi" w:hAnsiTheme="minorHAnsi" w:cstheme="minorHAnsi"/>
          <w:lang w:val="en-US"/>
        </w:rPr>
        <w:t xml:space="preserve">. </w:t>
      </w:r>
    </w:p>
    <w:p w14:paraId="4049B487" w14:textId="53882C75" w:rsidR="008B30F8" w:rsidRPr="00080559" w:rsidRDefault="008B30F8" w:rsidP="00CA0290">
      <w:pPr>
        <w:rPr>
          <w:rFonts w:asciiTheme="minorHAnsi" w:hAnsiTheme="minorHAnsi" w:cstheme="minorHAnsi"/>
          <w:lang w:val="en-GB"/>
        </w:rPr>
      </w:pPr>
      <w:r w:rsidRPr="00080559">
        <w:rPr>
          <w:rFonts w:asciiTheme="minorHAnsi" w:hAnsiTheme="minorHAnsi" w:cstheme="minorHAnsi"/>
          <w:noProof/>
          <w:lang w:val="en-GB"/>
        </w:rPr>
        <w:drawing>
          <wp:anchor distT="0" distB="0" distL="114300" distR="114300" simplePos="0" relativeHeight="251672576" behindDoc="0" locked="0" layoutInCell="1" allowOverlap="1" wp14:anchorId="6607318D" wp14:editId="3D04CF68">
            <wp:simplePos x="0" y="0"/>
            <wp:positionH relativeFrom="margin">
              <wp:posOffset>0</wp:posOffset>
            </wp:positionH>
            <wp:positionV relativeFrom="paragraph">
              <wp:posOffset>212725</wp:posOffset>
            </wp:positionV>
            <wp:extent cx="5870575" cy="3441065"/>
            <wp:effectExtent l="0" t="0" r="0" b="698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0575" cy="3441065"/>
                    </a:xfrm>
                    <a:prstGeom prst="rect">
                      <a:avLst/>
                    </a:prstGeom>
                    <a:noFill/>
                  </pic:spPr>
                </pic:pic>
              </a:graphicData>
            </a:graphic>
            <wp14:sizeRelH relativeFrom="page">
              <wp14:pctWidth>0</wp14:pctWidth>
            </wp14:sizeRelH>
            <wp14:sizeRelV relativeFrom="page">
              <wp14:pctHeight>0</wp14:pctHeight>
            </wp14:sizeRelV>
          </wp:anchor>
        </w:drawing>
      </w:r>
    </w:p>
    <w:p w14:paraId="6FD17954" w14:textId="25932F7B" w:rsidR="00341AAA" w:rsidRPr="00080559" w:rsidRDefault="00640B39" w:rsidP="00F57A69">
      <w:pPr>
        <w:rPr>
          <w:rFonts w:asciiTheme="minorHAnsi" w:hAnsiTheme="minorHAnsi" w:cstheme="minorHAnsi"/>
          <w:lang w:val="en-GB"/>
        </w:rPr>
      </w:pPr>
      <w:r w:rsidRPr="00080559">
        <w:rPr>
          <w:rFonts w:asciiTheme="minorHAnsi" w:hAnsiTheme="minorHAnsi" w:cstheme="minorHAnsi"/>
          <w:lang w:val="en-GB"/>
        </w:rPr>
        <w:t xml:space="preserve">IFIEC welcomes and in many aspects supports the EU hydrogen strategy as a policy framework to foster the implementation of hydrogen within the European Union. </w:t>
      </w:r>
      <w:r w:rsidR="003B0861" w:rsidRPr="00080559">
        <w:rPr>
          <w:rFonts w:asciiTheme="minorHAnsi" w:hAnsiTheme="minorHAnsi" w:cstheme="minorHAnsi"/>
          <w:lang w:val="en-GB"/>
        </w:rPr>
        <w:t xml:space="preserve">Electrolysis will be one </w:t>
      </w:r>
      <w:r w:rsidR="001A2745">
        <w:rPr>
          <w:rFonts w:asciiTheme="minorHAnsi" w:hAnsiTheme="minorHAnsi" w:cstheme="minorHAnsi"/>
          <w:lang w:val="en-GB"/>
        </w:rPr>
        <w:t>of</w:t>
      </w:r>
      <w:r w:rsidR="001A2745" w:rsidRPr="00080559">
        <w:rPr>
          <w:rFonts w:asciiTheme="minorHAnsi" w:hAnsiTheme="minorHAnsi" w:cstheme="minorHAnsi"/>
          <w:lang w:val="en-GB"/>
        </w:rPr>
        <w:t xml:space="preserve"> </w:t>
      </w:r>
      <w:r w:rsidR="003B0861" w:rsidRPr="00080559">
        <w:rPr>
          <w:rFonts w:asciiTheme="minorHAnsi" w:hAnsiTheme="minorHAnsi" w:cstheme="minorHAnsi"/>
          <w:lang w:val="en-GB"/>
        </w:rPr>
        <w:t>the main technologies to produce hydro</w:t>
      </w:r>
      <w:r w:rsidR="0099132E" w:rsidRPr="00080559">
        <w:rPr>
          <w:rFonts w:asciiTheme="minorHAnsi" w:hAnsiTheme="minorHAnsi" w:cstheme="minorHAnsi"/>
          <w:lang w:val="en-GB"/>
        </w:rPr>
        <w:t>gen</w:t>
      </w:r>
      <w:r w:rsidR="00DE42C9" w:rsidRPr="00080559">
        <w:rPr>
          <w:rFonts w:asciiTheme="minorHAnsi" w:hAnsiTheme="minorHAnsi" w:cstheme="minorHAnsi"/>
          <w:lang w:val="en-GB"/>
        </w:rPr>
        <w:t xml:space="preserve">. </w:t>
      </w:r>
      <w:r w:rsidR="001975EF">
        <w:rPr>
          <w:rFonts w:asciiTheme="minorHAnsi" w:hAnsiTheme="minorHAnsi" w:cstheme="minorHAnsi"/>
          <w:lang w:val="en-GB"/>
        </w:rPr>
        <w:t>H</w:t>
      </w:r>
      <w:r w:rsidR="001975EF" w:rsidRPr="00080559">
        <w:rPr>
          <w:rFonts w:asciiTheme="minorHAnsi" w:hAnsiTheme="minorHAnsi" w:cstheme="minorHAnsi"/>
          <w:lang w:val="en-GB"/>
        </w:rPr>
        <w:t xml:space="preserve">ydrogen production will contribute to an </w:t>
      </w:r>
      <w:r w:rsidR="001975EF" w:rsidRPr="004F4E26">
        <w:rPr>
          <w:rFonts w:asciiTheme="minorHAnsi" w:hAnsiTheme="minorHAnsi" w:cstheme="minorHAnsi"/>
          <w:b/>
          <w:bCs/>
          <w:lang w:val="en-GB"/>
        </w:rPr>
        <w:t>increasing energy demand</w:t>
      </w:r>
      <w:r w:rsidR="001975EF">
        <w:rPr>
          <w:rFonts w:asciiTheme="minorHAnsi" w:hAnsiTheme="minorHAnsi" w:cstheme="minorHAnsi"/>
          <w:lang w:val="en-GB"/>
        </w:rPr>
        <w:t>,</w:t>
      </w:r>
      <w:r w:rsidR="001975EF" w:rsidRPr="00080559">
        <w:rPr>
          <w:rFonts w:asciiTheme="minorHAnsi" w:hAnsiTheme="minorHAnsi" w:cstheme="minorHAnsi"/>
          <w:lang w:val="en-GB"/>
        </w:rPr>
        <w:t xml:space="preserve"> </w:t>
      </w:r>
      <w:r w:rsidR="001975EF">
        <w:rPr>
          <w:rFonts w:asciiTheme="minorHAnsi" w:hAnsiTheme="minorHAnsi" w:cstheme="minorHAnsi"/>
          <w:lang w:val="en-GB"/>
        </w:rPr>
        <w:t>a</w:t>
      </w:r>
      <w:r w:rsidR="00566842" w:rsidRPr="00080559">
        <w:rPr>
          <w:rFonts w:asciiTheme="minorHAnsi" w:hAnsiTheme="minorHAnsi" w:cstheme="minorHAnsi"/>
          <w:lang w:val="en-GB"/>
        </w:rPr>
        <w:t xml:space="preserve">lso because of </w:t>
      </w:r>
      <w:r w:rsidR="001975EF">
        <w:rPr>
          <w:rFonts w:asciiTheme="minorHAnsi" w:hAnsiTheme="minorHAnsi" w:cstheme="minorHAnsi"/>
          <w:lang w:val="en-GB"/>
        </w:rPr>
        <w:t xml:space="preserve">the low electricity-to-hydrogen conversion efficiency. </w:t>
      </w:r>
      <w:r w:rsidR="001A2745">
        <w:rPr>
          <w:rFonts w:asciiTheme="minorHAnsi" w:hAnsiTheme="minorHAnsi" w:cstheme="minorHAnsi"/>
          <w:lang w:val="en-GB"/>
        </w:rPr>
        <w:t xml:space="preserve">This means that </w:t>
      </w:r>
      <w:r w:rsidR="001C51D3" w:rsidRPr="00080559">
        <w:rPr>
          <w:rFonts w:asciiTheme="minorHAnsi" w:hAnsiTheme="minorHAnsi" w:cstheme="minorHAnsi"/>
          <w:lang w:val="en-GB"/>
        </w:rPr>
        <w:t xml:space="preserve">the </w:t>
      </w:r>
      <w:r w:rsidR="00813226">
        <w:rPr>
          <w:rFonts w:asciiTheme="minorHAnsi" w:hAnsiTheme="minorHAnsi" w:cstheme="minorHAnsi"/>
          <w:lang w:val="en-GB"/>
        </w:rPr>
        <w:t>industrial</w:t>
      </w:r>
      <w:r w:rsidR="00813226" w:rsidRPr="00080559">
        <w:rPr>
          <w:rFonts w:asciiTheme="minorHAnsi" w:hAnsiTheme="minorHAnsi" w:cstheme="minorHAnsi"/>
          <w:lang w:val="en-GB"/>
        </w:rPr>
        <w:t xml:space="preserve"> </w:t>
      </w:r>
      <w:r w:rsidR="001C51D3" w:rsidRPr="00080559">
        <w:rPr>
          <w:rFonts w:asciiTheme="minorHAnsi" w:hAnsiTheme="minorHAnsi" w:cstheme="minorHAnsi"/>
          <w:lang w:val="en-GB"/>
        </w:rPr>
        <w:t xml:space="preserve">transition </w:t>
      </w:r>
      <w:r w:rsidR="001975EF">
        <w:rPr>
          <w:rFonts w:asciiTheme="minorHAnsi" w:hAnsiTheme="minorHAnsi" w:cstheme="minorHAnsi"/>
          <w:lang w:val="en-GB"/>
        </w:rPr>
        <w:t xml:space="preserve">to hydrogen </w:t>
      </w:r>
      <w:r w:rsidR="00813226">
        <w:rPr>
          <w:rFonts w:asciiTheme="minorHAnsi" w:hAnsiTheme="minorHAnsi" w:cstheme="minorHAnsi"/>
          <w:lang w:val="en-GB"/>
        </w:rPr>
        <w:t>requires</w:t>
      </w:r>
      <w:r w:rsidR="00813226" w:rsidRPr="00080559">
        <w:rPr>
          <w:rFonts w:asciiTheme="minorHAnsi" w:hAnsiTheme="minorHAnsi" w:cstheme="minorHAnsi"/>
          <w:lang w:val="en-GB"/>
        </w:rPr>
        <w:t xml:space="preserve"> </w:t>
      </w:r>
      <w:r w:rsidR="001C51D3" w:rsidRPr="00080559">
        <w:rPr>
          <w:rFonts w:asciiTheme="minorHAnsi" w:hAnsiTheme="minorHAnsi" w:cstheme="minorHAnsi"/>
          <w:lang w:val="en-GB"/>
        </w:rPr>
        <w:t>more</w:t>
      </w:r>
      <w:r w:rsidR="00813226">
        <w:rPr>
          <w:rFonts w:asciiTheme="minorHAnsi" w:hAnsiTheme="minorHAnsi" w:cstheme="minorHAnsi"/>
          <w:lang w:val="en-GB"/>
        </w:rPr>
        <w:t xml:space="preserve"> </w:t>
      </w:r>
      <w:r w:rsidR="00FB1752">
        <w:rPr>
          <w:rFonts w:asciiTheme="minorHAnsi" w:hAnsiTheme="minorHAnsi" w:cstheme="minorHAnsi"/>
          <w:lang w:val="en-GB"/>
        </w:rPr>
        <w:t xml:space="preserve">green </w:t>
      </w:r>
      <w:r w:rsidR="00813226">
        <w:rPr>
          <w:rFonts w:asciiTheme="minorHAnsi" w:hAnsiTheme="minorHAnsi" w:cstheme="minorHAnsi"/>
          <w:lang w:val="en-GB"/>
        </w:rPr>
        <w:t>low carbon</w:t>
      </w:r>
      <w:r w:rsidR="001C51D3" w:rsidRPr="00080559">
        <w:rPr>
          <w:rFonts w:asciiTheme="minorHAnsi" w:hAnsiTheme="minorHAnsi" w:cstheme="minorHAnsi"/>
          <w:lang w:val="en-GB"/>
        </w:rPr>
        <w:t xml:space="preserve"> energy </w:t>
      </w:r>
      <w:r w:rsidR="00F9692D" w:rsidRPr="00080559">
        <w:rPr>
          <w:rFonts w:asciiTheme="minorHAnsi" w:hAnsiTheme="minorHAnsi" w:cstheme="minorHAnsi"/>
          <w:lang w:val="en-GB"/>
        </w:rPr>
        <w:t>whic</w:t>
      </w:r>
      <w:r w:rsidR="00CC61CB" w:rsidRPr="00080559">
        <w:rPr>
          <w:rFonts w:asciiTheme="minorHAnsi" w:hAnsiTheme="minorHAnsi" w:cstheme="minorHAnsi"/>
          <w:lang w:val="en-GB"/>
        </w:rPr>
        <w:t xml:space="preserve">h </w:t>
      </w:r>
      <w:r w:rsidR="001975EF">
        <w:rPr>
          <w:rFonts w:asciiTheme="minorHAnsi" w:hAnsiTheme="minorHAnsi" w:cstheme="minorHAnsi"/>
          <w:lang w:val="en-GB"/>
        </w:rPr>
        <w:t xml:space="preserve">conflicts with </w:t>
      </w:r>
      <w:r w:rsidR="00CC61CB" w:rsidRPr="00080559">
        <w:rPr>
          <w:rFonts w:asciiTheme="minorHAnsi" w:hAnsiTheme="minorHAnsi" w:cstheme="minorHAnsi"/>
          <w:lang w:val="en-GB"/>
        </w:rPr>
        <w:t xml:space="preserve">the absolute cap </w:t>
      </w:r>
      <w:r w:rsidR="00C81086" w:rsidRPr="00080559">
        <w:rPr>
          <w:rFonts w:asciiTheme="minorHAnsi" w:hAnsiTheme="minorHAnsi" w:cstheme="minorHAnsi"/>
          <w:lang w:val="en-GB"/>
        </w:rPr>
        <w:t xml:space="preserve">on energy use in the </w:t>
      </w:r>
      <w:r w:rsidR="00FB30FF" w:rsidRPr="00080559">
        <w:rPr>
          <w:rFonts w:asciiTheme="minorHAnsi" w:hAnsiTheme="minorHAnsi" w:cstheme="minorHAnsi"/>
          <w:lang w:val="en-GB"/>
        </w:rPr>
        <w:t>EED</w:t>
      </w:r>
      <w:r w:rsidR="00AE0604" w:rsidRPr="00080559">
        <w:rPr>
          <w:rFonts w:asciiTheme="minorHAnsi" w:hAnsiTheme="minorHAnsi" w:cstheme="minorHAnsi"/>
          <w:lang w:val="en-GB"/>
        </w:rPr>
        <w:t xml:space="preserve">. </w:t>
      </w:r>
      <w:r w:rsidR="00215DE2" w:rsidRPr="00080559">
        <w:rPr>
          <w:rFonts w:asciiTheme="minorHAnsi" w:hAnsiTheme="minorHAnsi" w:cstheme="minorHAnsi"/>
          <w:lang w:val="en-GB"/>
        </w:rPr>
        <w:t xml:space="preserve"> </w:t>
      </w:r>
    </w:p>
    <w:p w14:paraId="4CE7FDA0" w14:textId="77777777" w:rsidR="00E31AF3" w:rsidRPr="00080559" w:rsidRDefault="00E31AF3" w:rsidP="006013AD">
      <w:pPr>
        <w:rPr>
          <w:rFonts w:asciiTheme="minorHAnsi" w:hAnsiTheme="minorHAnsi" w:cstheme="minorHAnsi"/>
          <w:lang w:val="en-GB"/>
        </w:rPr>
      </w:pPr>
    </w:p>
    <w:p w14:paraId="2DA1D3FA" w14:textId="54826016" w:rsidR="00DD5160" w:rsidRPr="00080559" w:rsidRDefault="005D00B5" w:rsidP="006013AD">
      <w:pPr>
        <w:rPr>
          <w:rFonts w:asciiTheme="minorHAnsi" w:hAnsiTheme="minorHAnsi" w:cstheme="minorHAnsi"/>
          <w:lang w:val="en-GB"/>
        </w:rPr>
      </w:pPr>
      <w:r w:rsidRPr="00080559">
        <w:rPr>
          <w:rFonts w:asciiTheme="minorHAnsi" w:hAnsiTheme="minorHAnsi" w:cstheme="minorHAnsi"/>
          <w:lang w:val="en-GB"/>
        </w:rPr>
        <w:t>By</w:t>
      </w:r>
      <w:r w:rsidR="00640B39" w:rsidRPr="00080559">
        <w:rPr>
          <w:rFonts w:asciiTheme="minorHAnsi" w:hAnsiTheme="minorHAnsi" w:cstheme="minorHAnsi"/>
          <w:lang w:val="en-GB"/>
        </w:rPr>
        <w:t xml:space="preserve"> scaling up their use of hydrogen, </w:t>
      </w:r>
      <w:r w:rsidR="00080559" w:rsidRPr="004F4E26">
        <w:rPr>
          <w:rFonts w:asciiTheme="minorHAnsi" w:hAnsiTheme="minorHAnsi" w:cstheme="minorHAnsi"/>
          <w:b/>
          <w:bCs/>
          <w:lang w:val="en-GB"/>
        </w:rPr>
        <w:t>E</w:t>
      </w:r>
      <w:r w:rsidRPr="004F4E26">
        <w:rPr>
          <w:rFonts w:asciiTheme="minorHAnsi" w:hAnsiTheme="minorHAnsi" w:cstheme="minorHAnsi"/>
          <w:b/>
          <w:bCs/>
          <w:lang w:val="en-GB"/>
        </w:rPr>
        <w:t xml:space="preserve">nergy Intensive Industries </w:t>
      </w:r>
      <w:r w:rsidR="008D427D" w:rsidRPr="004F4E26">
        <w:rPr>
          <w:rFonts w:asciiTheme="minorHAnsi" w:hAnsiTheme="minorHAnsi" w:cstheme="minorHAnsi"/>
          <w:b/>
          <w:bCs/>
          <w:lang w:val="en-GB"/>
        </w:rPr>
        <w:t>will play</w:t>
      </w:r>
      <w:r w:rsidR="00640B39" w:rsidRPr="004F4E26">
        <w:rPr>
          <w:rFonts w:asciiTheme="minorHAnsi" w:hAnsiTheme="minorHAnsi" w:cstheme="minorHAnsi"/>
          <w:b/>
          <w:bCs/>
          <w:lang w:val="en-GB"/>
        </w:rPr>
        <w:t xml:space="preserve"> a key role</w:t>
      </w:r>
      <w:r w:rsidR="00640B39" w:rsidRPr="00080559">
        <w:rPr>
          <w:rFonts w:asciiTheme="minorHAnsi" w:hAnsiTheme="minorHAnsi" w:cstheme="minorHAnsi"/>
          <w:lang w:val="en-GB"/>
        </w:rPr>
        <w:t xml:space="preserve"> in developing a sizeable, well-functioning </w:t>
      </w:r>
      <w:r w:rsidR="00B3084C">
        <w:rPr>
          <w:rFonts w:asciiTheme="minorHAnsi" w:hAnsiTheme="minorHAnsi" w:cstheme="minorHAnsi"/>
          <w:lang w:val="en-GB"/>
        </w:rPr>
        <w:t>green and low carbon</w:t>
      </w:r>
      <w:r w:rsidR="00FB1752">
        <w:rPr>
          <w:rFonts w:asciiTheme="minorHAnsi" w:hAnsiTheme="minorHAnsi" w:cstheme="minorHAnsi"/>
          <w:lang w:val="en-GB"/>
        </w:rPr>
        <w:t xml:space="preserve"> </w:t>
      </w:r>
      <w:r w:rsidR="00640B39" w:rsidRPr="00080559">
        <w:rPr>
          <w:rFonts w:asciiTheme="minorHAnsi" w:hAnsiTheme="minorHAnsi" w:cstheme="minorHAnsi"/>
          <w:lang w:val="en-GB"/>
        </w:rPr>
        <w:t xml:space="preserve">hydrogen market </w:t>
      </w:r>
      <w:r w:rsidR="00ED0498">
        <w:rPr>
          <w:rFonts w:asciiTheme="minorHAnsi" w:hAnsiTheme="minorHAnsi" w:cstheme="minorHAnsi"/>
          <w:lang w:val="en-GB"/>
        </w:rPr>
        <w:t>with</w:t>
      </w:r>
      <w:r w:rsidR="00ED0498" w:rsidRPr="00080559">
        <w:rPr>
          <w:rFonts w:asciiTheme="minorHAnsi" w:hAnsiTheme="minorHAnsi" w:cstheme="minorHAnsi"/>
          <w:lang w:val="en-GB"/>
        </w:rPr>
        <w:t xml:space="preserve"> </w:t>
      </w:r>
      <w:r w:rsidR="00640B39" w:rsidRPr="00080559">
        <w:rPr>
          <w:rFonts w:asciiTheme="minorHAnsi" w:hAnsiTheme="minorHAnsi" w:cstheme="minorHAnsi"/>
          <w:lang w:val="en-GB"/>
        </w:rPr>
        <w:t>a cost-effective infrastructure</w:t>
      </w:r>
      <w:r w:rsidR="004A1FC4">
        <w:rPr>
          <w:rFonts w:asciiTheme="minorHAnsi" w:hAnsiTheme="minorHAnsi" w:cstheme="minorHAnsi"/>
          <w:lang w:val="en-GB"/>
        </w:rPr>
        <w:t xml:space="preserve"> that will increasingly make use of</w:t>
      </w:r>
      <w:r w:rsidR="00B3084C">
        <w:rPr>
          <w:rFonts w:asciiTheme="minorHAnsi" w:hAnsiTheme="minorHAnsi" w:cstheme="minorHAnsi"/>
          <w:lang w:val="en-GB"/>
        </w:rPr>
        <w:t xml:space="preserve"> green and</w:t>
      </w:r>
      <w:r w:rsidR="004A1FC4">
        <w:rPr>
          <w:rFonts w:asciiTheme="minorHAnsi" w:hAnsiTheme="minorHAnsi" w:cstheme="minorHAnsi"/>
          <w:lang w:val="en-GB"/>
        </w:rPr>
        <w:t xml:space="preserve"> </w:t>
      </w:r>
      <w:r w:rsidR="00B3084C">
        <w:rPr>
          <w:rFonts w:asciiTheme="minorHAnsi" w:hAnsiTheme="minorHAnsi" w:cstheme="minorHAnsi"/>
          <w:lang w:val="en-GB"/>
        </w:rPr>
        <w:t>low carbon</w:t>
      </w:r>
      <w:r w:rsidR="004A1FC4">
        <w:rPr>
          <w:rFonts w:asciiTheme="minorHAnsi" w:hAnsiTheme="minorHAnsi" w:cstheme="minorHAnsi"/>
          <w:lang w:val="en-GB"/>
        </w:rPr>
        <w:t xml:space="preserve"> hydrogen</w:t>
      </w:r>
      <w:r w:rsidR="00640B39" w:rsidRPr="00080559">
        <w:rPr>
          <w:rFonts w:asciiTheme="minorHAnsi" w:hAnsiTheme="minorHAnsi" w:cstheme="minorHAnsi"/>
          <w:lang w:val="en-GB"/>
        </w:rPr>
        <w:t>.</w:t>
      </w:r>
      <w:r w:rsidR="00C7533B" w:rsidRPr="00080559">
        <w:rPr>
          <w:rFonts w:asciiTheme="minorHAnsi" w:hAnsiTheme="minorHAnsi" w:cstheme="minorHAnsi"/>
          <w:lang w:val="en-GB"/>
        </w:rPr>
        <w:t xml:space="preserve"> </w:t>
      </w:r>
      <w:r w:rsidR="009F6D89" w:rsidRPr="00080559">
        <w:rPr>
          <w:rFonts w:asciiTheme="minorHAnsi" w:hAnsiTheme="minorHAnsi" w:cstheme="minorHAnsi"/>
          <w:lang w:val="en-GB"/>
        </w:rPr>
        <w:t xml:space="preserve">Competitiveness </w:t>
      </w:r>
      <w:r w:rsidR="00B92BC1" w:rsidRPr="00080559">
        <w:rPr>
          <w:rFonts w:asciiTheme="minorHAnsi" w:hAnsiTheme="minorHAnsi" w:cstheme="minorHAnsi"/>
          <w:lang w:val="en-GB"/>
        </w:rPr>
        <w:t>safeguard</w:t>
      </w:r>
      <w:r w:rsidR="004236BA" w:rsidRPr="00080559">
        <w:rPr>
          <w:rFonts w:asciiTheme="minorHAnsi" w:hAnsiTheme="minorHAnsi" w:cstheme="minorHAnsi"/>
          <w:lang w:val="en-GB"/>
        </w:rPr>
        <w:t>ed by</w:t>
      </w:r>
      <w:r w:rsidR="00B92BC1" w:rsidRPr="00080559">
        <w:rPr>
          <w:rFonts w:asciiTheme="minorHAnsi" w:hAnsiTheme="minorHAnsi" w:cstheme="minorHAnsi"/>
          <w:lang w:val="en-GB"/>
        </w:rPr>
        <w:t xml:space="preserve"> optimal flex</w:t>
      </w:r>
      <w:r w:rsidR="00080559">
        <w:rPr>
          <w:rFonts w:asciiTheme="minorHAnsi" w:hAnsiTheme="minorHAnsi" w:cstheme="minorHAnsi"/>
          <w:lang w:val="en-GB"/>
        </w:rPr>
        <w:t>ibility</w:t>
      </w:r>
      <w:r w:rsidR="00B92BC1" w:rsidRPr="00080559">
        <w:rPr>
          <w:rFonts w:asciiTheme="minorHAnsi" w:hAnsiTheme="minorHAnsi" w:cstheme="minorHAnsi"/>
          <w:lang w:val="en-GB"/>
        </w:rPr>
        <w:t xml:space="preserve"> and cost allocation </w:t>
      </w:r>
      <w:r w:rsidR="004C6045" w:rsidRPr="00080559">
        <w:rPr>
          <w:rFonts w:asciiTheme="minorHAnsi" w:hAnsiTheme="minorHAnsi" w:cstheme="minorHAnsi"/>
          <w:lang w:val="en-GB"/>
        </w:rPr>
        <w:t xml:space="preserve">should lead to </w:t>
      </w:r>
      <w:r w:rsidR="00B92BC1" w:rsidRPr="00080559">
        <w:rPr>
          <w:rFonts w:asciiTheme="minorHAnsi" w:hAnsiTheme="minorHAnsi" w:cstheme="minorHAnsi"/>
          <w:lang w:val="en-GB"/>
        </w:rPr>
        <w:t>affordable</w:t>
      </w:r>
      <w:r w:rsidR="004C6045" w:rsidRPr="00080559">
        <w:rPr>
          <w:rFonts w:asciiTheme="minorHAnsi" w:hAnsiTheme="minorHAnsi" w:cstheme="minorHAnsi"/>
          <w:lang w:val="en-GB"/>
        </w:rPr>
        <w:t xml:space="preserve"> prices</w:t>
      </w:r>
      <w:r w:rsidR="00B92BC1" w:rsidRPr="00080559">
        <w:rPr>
          <w:rFonts w:asciiTheme="minorHAnsi" w:hAnsiTheme="minorHAnsi" w:cstheme="minorHAnsi"/>
          <w:lang w:val="en-GB"/>
        </w:rPr>
        <w:t xml:space="preserve"> for end-consumers. </w:t>
      </w:r>
      <w:r w:rsidR="00E536C8" w:rsidRPr="00080559">
        <w:rPr>
          <w:rFonts w:asciiTheme="minorHAnsi" w:hAnsiTheme="minorHAnsi" w:cstheme="minorHAnsi"/>
          <w:lang w:val="en-GB"/>
        </w:rPr>
        <w:t>Financial support to breakthrough</w:t>
      </w:r>
      <w:r w:rsidR="00935C53" w:rsidRPr="00080559">
        <w:rPr>
          <w:rFonts w:asciiTheme="minorHAnsi" w:hAnsiTheme="minorHAnsi" w:cstheme="minorHAnsi"/>
          <w:lang w:val="en-GB"/>
        </w:rPr>
        <w:t xml:space="preserve"> or i</w:t>
      </w:r>
      <w:r w:rsidR="007A46D3" w:rsidRPr="00080559">
        <w:rPr>
          <w:rFonts w:asciiTheme="minorHAnsi" w:hAnsiTheme="minorHAnsi" w:cstheme="minorHAnsi"/>
          <w:lang w:val="en-GB"/>
        </w:rPr>
        <w:t>m</w:t>
      </w:r>
      <w:r w:rsidR="00935C53" w:rsidRPr="00080559">
        <w:rPr>
          <w:rFonts w:asciiTheme="minorHAnsi" w:hAnsiTheme="minorHAnsi" w:cstheme="minorHAnsi"/>
          <w:lang w:val="en-GB"/>
        </w:rPr>
        <w:t xml:space="preserve">mature technologies </w:t>
      </w:r>
      <w:r w:rsidR="007A46D3" w:rsidRPr="00080559">
        <w:rPr>
          <w:rFonts w:asciiTheme="minorHAnsi" w:hAnsiTheme="minorHAnsi" w:cstheme="minorHAnsi"/>
          <w:lang w:val="en-GB"/>
        </w:rPr>
        <w:t xml:space="preserve">are prerequisite for its success. </w:t>
      </w:r>
    </w:p>
    <w:p w14:paraId="2D3CEA6A" w14:textId="64DC1634" w:rsidR="00DD5160" w:rsidRPr="00080559" w:rsidRDefault="00DD5160" w:rsidP="006013AD">
      <w:pPr>
        <w:rPr>
          <w:rFonts w:asciiTheme="minorHAnsi" w:hAnsiTheme="minorHAnsi" w:cstheme="minorHAnsi"/>
          <w:lang w:val="en-GB"/>
        </w:rPr>
      </w:pPr>
    </w:p>
    <w:p w14:paraId="6A4CA859" w14:textId="28AD0229" w:rsidR="00E31AF3" w:rsidRPr="00080559" w:rsidRDefault="005C0759" w:rsidP="00310F5C">
      <w:pPr>
        <w:rPr>
          <w:rFonts w:asciiTheme="minorHAnsi" w:hAnsiTheme="minorHAnsi" w:cstheme="minorHAnsi"/>
          <w:lang w:val="en-GB"/>
        </w:rPr>
      </w:pPr>
      <w:r w:rsidRPr="00080559">
        <w:rPr>
          <w:rFonts w:asciiTheme="minorHAnsi" w:hAnsiTheme="minorHAnsi" w:cstheme="minorHAnsi"/>
          <w:lang w:val="en-GB"/>
        </w:rPr>
        <w:lastRenderedPageBreak/>
        <w:t xml:space="preserve">Hydrogen as well as </w:t>
      </w:r>
      <w:r w:rsidR="00E31AF3" w:rsidRPr="00080559">
        <w:rPr>
          <w:rFonts w:asciiTheme="minorHAnsi" w:hAnsiTheme="minorHAnsi" w:cstheme="minorHAnsi"/>
          <w:lang w:val="en-GB"/>
        </w:rPr>
        <w:t>electrification</w:t>
      </w:r>
      <w:r w:rsidRPr="00080559">
        <w:rPr>
          <w:rFonts w:asciiTheme="minorHAnsi" w:hAnsiTheme="minorHAnsi" w:cstheme="minorHAnsi"/>
          <w:lang w:val="en-GB"/>
        </w:rPr>
        <w:t xml:space="preserve"> </w:t>
      </w:r>
      <w:r w:rsidR="00E31AF3" w:rsidRPr="00080559">
        <w:rPr>
          <w:rFonts w:asciiTheme="minorHAnsi" w:hAnsiTheme="minorHAnsi" w:cstheme="minorHAnsi"/>
          <w:lang w:val="en-GB"/>
        </w:rPr>
        <w:t xml:space="preserve">and CCS </w:t>
      </w:r>
      <w:r w:rsidR="00813226">
        <w:rPr>
          <w:rFonts w:asciiTheme="minorHAnsi" w:hAnsiTheme="minorHAnsi" w:cstheme="minorHAnsi"/>
          <w:lang w:val="en-GB"/>
        </w:rPr>
        <w:t>require</w:t>
      </w:r>
      <w:r w:rsidR="00813226" w:rsidRPr="00080559">
        <w:rPr>
          <w:rFonts w:asciiTheme="minorHAnsi" w:hAnsiTheme="minorHAnsi" w:cstheme="minorHAnsi"/>
          <w:lang w:val="en-GB"/>
        </w:rPr>
        <w:t xml:space="preserve"> </w:t>
      </w:r>
      <w:r w:rsidR="00E31AF3" w:rsidRPr="004F4E26">
        <w:rPr>
          <w:rFonts w:asciiTheme="minorHAnsi" w:hAnsiTheme="minorHAnsi" w:cstheme="minorHAnsi"/>
          <w:b/>
          <w:bCs/>
          <w:lang w:val="en-GB"/>
        </w:rPr>
        <w:t>new infrastructure</w:t>
      </w:r>
      <w:r w:rsidR="00813226" w:rsidRPr="004F4E26">
        <w:rPr>
          <w:rFonts w:asciiTheme="minorHAnsi" w:hAnsiTheme="minorHAnsi" w:cstheme="minorHAnsi"/>
          <w:b/>
          <w:bCs/>
          <w:lang w:val="en-GB"/>
        </w:rPr>
        <w:t>s</w:t>
      </w:r>
      <w:r w:rsidR="00E31AF3" w:rsidRPr="00080559">
        <w:rPr>
          <w:rFonts w:asciiTheme="minorHAnsi" w:hAnsiTheme="minorHAnsi" w:cstheme="minorHAnsi"/>
          <w:lang w:val="en-GB"/>
        </w:rPr>
        <w:t>, that also accommodate the necessary cross sectoral integration</w:t>
      </w:r>
      <w:r w:rsidR="000863C7" w:rsidRPr="00080559">
        <w:rPr>
          <w:rFonts w:asciiTheme="minorHAnsi" w:hAnsiTheme="minorHAnsi" w:cstheme="minorHAnsi"/>
          <w:lang w:val="en-GB"/>
        </w:rPr>
        <w:t xml:space="preserve">, </w:t>
      </w:r>
      <w:r w:rsidR="004F7DE3" w:rsidRPr="00080559">
        <w:rPr>
          <w:rFonts w:asciiTheme="minorHAnsi" w:hAnsiTheme="minorHAnsi" w:cstheme="minorHAnsi"/>
          <w:lang w:val="en-GB"/>
        </w:rPr>
        <w:t xml:space="preserve">a </w:t>
      </w:r>
      <w:r w:rsidR="0045564B" w:rsidRPr="00080559">
        <w:rPr>
          <w:rFonts w:asciiTheme="minorHAnsi" w:hAnsiTheme="minorHAnsi" w:cstheme="minorHAnsi"/>
          <w:lang w:val="en-GB"/>
        </w:rPr>
        <w:t xml:space="preserve">precondition for more energy efficiency and </w:t>
      </w:r>
      <w:r w:rsidR="004C55A5" w:rsidRPr="00080559">
        <w:rPr>
          <w:rFonts w:asciiTheme="minorHAnsi" w:hAnsiTheme="minorHAnsi" w:cstheme="minorHAnsi"/>
          <w:lang w:val="en-GB"/>
        </w:rPr>
        <w:t>flexibility</w:t>
      </w:r>
      <w:r w:rsidR="00157553" w:rsidRPr="00080559">
        <w:rPr>
          <w:rFonts w:asciiTheme="minorHAnsi" w:hAnsiTheme="minorHAnsi" w:cstheme="minorHAnsi"/>
          <w:lang w:val="en-GB"/>
        </w:rPr>
        <w:t xml:space="preserve">. </w:t>
      </w:r>
      <w:r w:rsidR="00143C18" w:rsidRPr="00080559">
        <w:rPr>
          <w:rFonts w:asciiTheme="minorHAnsi" w:hAnsiTheme="minorHAnsi" w:cstheme="minorHAnsi"/>
          <w:lang w:val="en-GB"/>
        </w:rPr>
        <w:t xml:space="preserve"> </w:t>
      </w:r>
      <w:r w:rsidR="00157553" w:rsidRPr="00080559">
        <w:rPr>
          <w:rFonts w:asciiTheme="minorHAnsi" w:hAnsiTheme="minorHAnsi" w:cstheme="minorHAnsi"/>
          <w:lang w:val="en-GB"/>
        </w:rPr>
        <w:t>Efficient markets</w:t>
      </w:r>
      <w:r w:rsidRPr="00080559">
        <w:rPr>
          <w:rFonts w:asciiTheme="minorHAnsi" w:hAnsiTheme="minorHAnsi" w:cstheme="minorHAnsi"/>
          <w:lang w:val="en-GB"/>
        </w:rPr>
        <w:t xml:space="preserve">, including hydrogen, </w:t>
      </w:r>
      <w:r w:rsidR="00157553" w:rsidRPr="00080559">
        <w:rPr>
          <w:rFonts w:asciiTheme="minorHAnsi" w:hAnsiTheme="minorHAnsi" w:cstheme="minorHAnsi"/>
          <w:lang w:val="en-GB"/>
        </w:rPr>
        <w:t xml:space="preserve">by more liquidity will </w:t>
      </w:r>
      <w:r w:rsidR="003C1F59" w:rsidRPr="00080559">
        <w:rPr>
          <w:rFonts w:asciiTheme="minorHAnsi" w:hAnsiTheme="minorHAnsi" w:cstheme="minorHAnsi"/>
          <w:lang w:val="en-GB"/>
        </w:rPr>
        <w:t>foster the</w:t>
      </w:r>
      <w:r w:rsidR="00143C18" w:rsidRPr="00080559">
        <w:rPr>
          <w:rFonts w:asciiTheme="minorHAnsi" w:hAnsiTheme="minorHAnsi" w:cstheme="minorHAnsi"/>
          <w:lang w:val="en-GB"/>
        </w:rPr>
        <w:t xml:space="preserve"> participation of all </w:t>
      </w:r>
      <w:r w:rsidR="000D7525" w:rsidRPr="00080559">
        <w:rPr>
          <w:rFonts w:asciiTheme="minorHAnsi" w:hAnsiTheme="minorHAnsi" w:cstheme="minorHAnsi"/>
          <w:lang w:val="en-GB"/>
        </w:rPr>
        <w:t>kind of prosumers</w:t>
      </w:r>
      <w:r w:rsidR="003C1F59" w:rsidRPr="00080559">
        <w:rPr>
          <w:rFonts w:asciiTheme="minorHAnsi" w:hAnsiTheme="minorHAnsi" w:cstheme="minorHAnsi"/>
          <w:lang w:val="en-GB"/>
        </w:rPr>
        <w:t xml:space="preserve"> via demand si</w:t>
      </w:r>
      <w:r w:rsidR="0020577A" w:rsidRPr="00080559">
        <w:rPr>
          <w:rFonts w:asciiTheme="minorHAnsi" w:hAnsiTheme="minorHAnsi" w:cstheme="minorHAnsi"/>
          <w:lang w:val="en-GB"/>
        </w:rPr>
        <w:t>de respons</w:t>
      </w:r>
      <w:r w:rsidR="00080559">
        <w:rPr>
          <w:rFonts w:asciiTheme="minorHAnsi" w:hAnsiTheme="minorHAnsi" w:cstheme="minorHAnsi"/>
          <w:lang w:val="en-GB"/>
        </w:rPr>
        <w:t>e</w:t>
      </w:r>
      <w:r w:rsidR="000F1EE7" w:rsidRPr="00080559">
        <w:rPr>
          <w:rFonts w:asciiTheme="minorHAnsi" w:hAnsiTheme="minorHAnsi" w:cstheme="minorHAnsi"/>
          <w:lang w:val="en-GB"/>
        </w:rPr>
        <w:t>.</w:t>
      </w:r>
      <w:r w:rsidR="00157553" w:rsidRPr="00080559">
        <w:rPr>
          <w:rFonts w:asciiTheme="minorHAnsi" w:hAnsiTheme="minorHAnsi" w:cstheme="minorHAnsi"/>
          <w:lang w:val="en-GB"/>
        </w:rPr>
        <w:t xml:space="preserve"> </w:t>
      </w:r>
      <w:r w:rsidR="00CA78CD" w:rsidRPr="00080559">
        <w:rPr>
          <w:rFonts w:asciiTheme="minorHAnsi" w:hAnsiTheme="minorHAnsi" w:cstheme="minorHAnsi"/>
          <w:lang w:val="en-GB"/>
        </w:rPr>
        <w:t>This will also contribute to an optimal balance between elec</w:t>
      </w:r>
      <w:r w:rsidR="00EA2558" w:rsidRPr="00080559">
        <w:rPr>
          <w:rFonts w:asciiTheme="minorHAnsi" w:hAnsiTheme="minorHAnsi" w:cstheme="minorHAnsi"/>
          <w:lang w:val="en-GB"/>
        </w:rPr>
        <w:t xml:space="preserve">trons and molecules. </w:t>
      </w:r>
      <w:r w:rsidR="001F2509" w:rsidRPr="00080559">
        <w:rPr>
          <w:rFonts w:asciiTheme="minorHAnsi" w:hAnsiTheme="minorHAnsi" w:cstheme="minorHAnsi"/>
          <w:lang w:val="en-GB"/>
        </w:rPr>
        <w:t xml:space="preserve">IFIEC members will contribute to </w:t>
      </w:r>
      <w:r w:rsidR="003521EF" w:rsidRPr="00080559">
        <w:rPr>
          <w:rFonts w:asciiTheme="minorHAnsi" w:hAnsiTheme="minorHAnsi" w:cstheme="minorHAnsi"/>
          <w:lang w:val="en-GB"/>
        </w:rPr>
        <w:t>reach the</w:t>
      </w:r>
      <w:r w:rsidR="00374031" w:rsidRPr="00080559">
        <w:rPr>
          <w:rFonts w:asciiTheme="minorHAnsi" w:hAnsiTheme="minorHAnsi" w:cstheme="minorHAnsi"/>
          <w:lang w:val="en-GB"/>
        </w:rPr>
        <w:t xml:space="preserve"> stretched targets of the </w:t>
      </w:r>
      <w:r w:rsidR="00813226">
        <w:rPr>
          <w:rFonts w:asciiTheme="minorHAnsi" w:hAnsiTheme="minorHAnsi" w:cstheme="minorHAnsi"/>
          <w:lang w:val="en-GB"/>
        </w:rPr>
        <w:t>G</w:t>
      </w:r>
      <w:r w:rsidR="00813226" w:rsidRPr="00080559">
        <w:rPr>
          <w:rFonts w:asciiTheme="minorHAnsi" w:hAnsiTheme="minorHAnsi" w:cstheme="minorHAnsi"/>
          <w:lang w:val="en-GB"/>
        </w:rPr>
        <w:t xml:space="preserve">reen </w:t>
      </w:r>
      <w:r w:rsidR="00813226">
        <w:rPr>
          <w:rFonts w:asciiTheme="minorHAnsi" w:hAnsiTheme="minorHAnsi" w:cstheme="minorHAnsi"/>
          <w:lang w:val="en-GB"/>
        </w:rPr>
        <w:t>D</w:t>
      </w:r>
      <w:r w:rsidR="00813226" w:rsidRPr="00080559">
        <w:rPr>
          <w:rFonts w:asciiTheme="minorHAnsi" w:hAnsiTheme="minorHAnsi" w:cstheme="minorHAnsi"/>
          <w:lang w:val="en-GB"/>
        </w:rPr>
        <w:t>eal</w:t>
      </w:r>
      <w:r w:rsidR="003521EF" w:rsidRPr="00080559">
        <w:rPr>
          <w:rFonts w:asciiTheme="minorHAnsi" w:hAnsiTheme="minorHAnsi" w:cstheme="minorHAnsi"/>
          <w:lang w:val="en-GB"/>
        </w:rPr>
        <w:t xml:space="preserve">, but </w:t>
      </w:r>
      <w:r w:rsidR="00234168" w:rsidRPr="00080559">
        <w:rPr>
          <w:rFonts w:asciiTheme="minorHAnsi" w:hAnsiTheme="minorHAnsi" w:cstheme="minorHAnsi"/>
          <w:lang w:val="en-GB"/>
        </w:rPr>
        <w:t>be</w:t>
      </w:r>
      <w:r w:rsidR="003521EF" w:rsidRPr="00080559">
        <w:rPr>
          <w:rFonts w:asciiTheme="minorHAnsi" w:hAnsiTheme="minorHAnsi" w:cstheme="minorHAnsi"/>
          <w:lang w:val="en-GB"/>
        </w:rPr>
        <w:t>for</w:t>
      </w:r>
      <w:r w:rsidR="00234168" w:rsidRPr="00080559">
        <w:rPr>
          <w:rFonts w:asciiTheme="minorHAnsi" w:hAnsiTheme="minorHAnsi" w:cstheme="minorHAnsi"/>
          <w:lang w:val="en-GB"/>
        </w:rPr>
        <w:t>e</w:t>
      </w:r>
      <w:r w:rsidR="003521EF" w:rsidRPr="00080559">
        <w:rPr>
          <w:rFonts w:asciiTheme="minorHAnsi" w:hAnsiTheme="minorHAnsi" w:cstheme="minorHAnsi"/>
          <w:lang w:val="en-GB"/>
        </w:rPr>
        <w:t xml:space="preserve"> </w:t>
      </w:r>
      <w:r w:rsidR="001A2745">
        <w:rPr>
          <w:rFonts w:asciiTheme="minorHAnsi" w:hAnsiTheme="minorHAnsi" w:cstheme="minorHAnsi"/>
          <w:lang w:val="en-GB"/>
        </w:rPr>
        <w:t xml:space="preserve">at least </w:t>
      </w:r>
      <w:r w:rsidR="003521EF" w:rsidRPr="00080559">
        <w:rPr>
          <w:rFonts w:asciiTheme="minorHAnsi" w:hAnsiTheme="minorHAnsi" w:cstheme="minorHAnsi"/>
          <w:lang w:val="en-GB"/>
        </w:rPr>
        <w:t xml:space="preserve">2030 this will only be possible </w:t>
      </w:r>
      <w:r w:rsidR="00813226">
        <w:rPr>
          <w:rFonts w:asciiTheme="minorHAnsi" w:hAnsiTheme="minorHAnsi" w:cstheme="minorHAnsi"/>
          <w:lang w:val="en-GB"/>
        </w:rPr>
        <w:t>by</w:t>
      </w:r>
      <w:r w:rsidR="00813226" w:rsidRPr="00080559">
        <w:rPr>
          <w:rFonts w:asciiTheme="minorHAnsi" w:hAnsiTheme="minorHAnsi" w:cstheme="minorHAnsi"/>
          <w:lang w:val="en-GB"/>
        </w:rPr>
        <w:t xml:space="preserve"> </w:t>
      </w:r>
      <w:r w:rsidRPr="00080559">
        <w:rPr>
          <w:rFonts w:asciiTheme="minorHAnsi" w:hAnsiTheme="minorHAnsi" w:cstheme="minorHAnsi"/>
          <w:lang w:val="en-GB"/>
        </w:rPr>
        <w:t xml:space="preserve">more hydrogen </w:t>
      </w:r>
      <w:r w:rsidR="00813226" w:rsidRPr="00080559">
        <w:rPr>
          <w:rFonts w:asciiTheme="minorHAnsi" w:hAnsiTheme="minorHAnsi" w:cstheme="minorHAnsi"/>
          <w:lang w:val="en-GB"/>
        </w:rPr>
        <w:t>produc</w:t>
      </w:r>
      <w:r w:rsidR="00813226">
        <w:rPr>
          <w:rFonts w:asciiTheme="minorHAnsi" w:hAnsiTheme="minorHAnsi" w:cstheme="minorHAnsi"/>
          <w:lang w:val="en-GB"/>
        </w:rPr>
        <w:t>tion</w:t>
      </w:r>
      <w:r w:rsidR="00813226" w:rsidRPr="00080559">
        <w:rPr>
          <w:rFonts w:asciiTheme="minorHAnsi" w:hAnsiTheme="minorHAnsi" w:cstheme="minorHAnsi"/>
          <w:lang w:val="en-GB"/>
        </w:rPr>
        <w:t xml:space="preserve"> </w:t>
      </w:r>
      <w:r w:rsidRPr="00080559">
        <w:rPr>
          <w:rFonts w:asciiTheme="minorHAnsi" w:hAnsiTheme="minorHAnsi" w:cstheme="minorHAnsi"/>
          <w:lang w:val="en-GB"/>
        </w:rPr>
        <w:t xml:space="preserve">in combination with CCS and </w:t>
      </w:r>
      <w:r w:rsidR="00234168" w:rsidRPr="00080559">
        <w:rPr>
          <w:rFonts w:asciiTheme="minorHAnsi" w:hAnsiTheme="minorHAnsi" w:cstheme="minorHAnsi"/>
          <w:lang w:val="en-GB"/>
        </w:rPr>
        <w:t xml:space="preserve">CCU. </w:t>
      </w:r>
      <w:r w:rsidR="007D6C2F" w:rsidRPr="00080559">
        <w:rPr>
          <w:rFonts w:asciiTheme="minorHAnsi" w:hAnsiTheme="minorHAnsi" w:cstheme="minorHAnsi"/>
          <w:lang w:val="en-GB"/>
        </w:rPr>
        <w:t xml:space="preserve">We ask the </w:t>
      </w:r>
      <w:r w:rsidR="00080559">
        <w:rPr>
          <w:rFonts w:asciiTheme="minorHAnsi" w:hAnsiTheme="minorHAnsi" w:cstheme="minorHAnsi"/>
          <w:lang w:val="en-GB"/>
        </w:rPr>
        <w:t>C</w:t>
      </w:r>
      <w:r w:rsidR="007D6C2F" w:rsidRPr="00080559">
        <w:rPr>
          <w:rFonts w:asciiTheme="minorHAnsi" w:hAnsiTheme="minorHAnsi" w:cstheme="minorHAnsi"/>
          <w:lang w:val="en-GB"/>
        </w:rPr>
        <w:t xml:space="preserve">ommission to </w:t>
      </w:r>
      <w:r w:rsidR="00D36253" w:rsidRPr="00080559">
        <w:rPr>
          <w:rFonts w:asciiTheme="minorHAnsi" w:hAnsiTheme="minorHAnsi" w:cstheme="minorHAnsi"/>
          <w:lang w:val="en-GB"/>
        </w:rPr>
        <w:t xml:space="preserve">remove all barriers that hinder the development </w:t>
      </w:r>
      <w:r w:rsidR="00451DC7" w:rsidRPr="00080559">
        <w:rPr>
          <w:rFonts w:asciiTheme="minorHAnsi" w:hAnsiTheme="minorHAnsi" w:cstheme="minorHAnsi"/>
          <w:lang w:val="en-GB"/>
        </w:rPr>
        <w:t>of CCS and take CCS on board as on</w:t>
      </w:r>
      <w:r w:rsidR="00080559">
        <w:rPr>
          <w:rFonts w:asciiTheme="minorHAnsi" w:hAnsiTheme="minorHAnsi" w:cstheme="minorHAnsi"/>
          <w:lang w:val="en-GB"/>
        </w:rPr>
        <w:t>e</w:t>
      </w:r>
      <w:r w:rsidR="00451DC7" w:rsidRPr="00080559">
        <w:rPr>
          <w:rFonts w:asciiTheme="minorHAnsi" w:hAnsiTheme="minorHAnsi" w:cstheme="minorHAnsi"/>
          <w:lang w:val="en-GB"/>
        </w:rPr>
        <w:t xml:space="preserve"> </w:t>
      </w:r>
      <w:r w:rsidR="00E1567B" w:rsidRPr="00080559">
        <w:rPr>
          <w:rFonts w:asciiTheme="minorHAnsi" w:hAnsiTheme="minorHAnsi" w:cstheme="minorHAnsi"/>
          <w:lang w:val="en-GB"/>
        </w:rPr>
        <w:t>o</w:t>
      </w:r>
      <w:r w:rsidR="00451DC7" w:rsidRPr="00080559">
        <w:rPr>
          <w:rFonts w:asciiTheme="minorHAnsi" w:hAnsiTheme="minorHAnsi" w:cstheme="minorHAnsi"/>
          <w:lang w:val="en-GB"/>
        </w:rPr>
        <w:t>f the mai</w:t>
      </w:r>
      <w:r w:rsidR="00080559">
        <w:rPr>
          <w:rFonts w:asciiTheme="minorHAnsi" w:hAnsiTheme="minorHAnsi" w:cstheme="minorHAnsi"/>
          <w:lang w:val="en-GB"/>
        </w:rPr>
        <w:t>n</w:t>
      </w:r>
      <w:r w:rsidR="00451DC7" w:rsidRPr="00080559">
        <w:rPr>
          <w:rFonts w:asciiTheme="minorHAnsi" w:hAnsiTheme="minorHAnsi" w:cstheme="minorHAnsi"/>
          <w:lang w:val="en-GB"/>
        </w:rPr>
        <w:t xml:space="preserve"> pillar</w:t>
      </w:r>
      <w:r w:rsidR="00E1567B" w:rsidRPr="00080559">
        <w:rPr>
          <w:rFonts w:asciiTheme="minorHAnsi" w:hAnsiTheme="minorHAnsi" w:cstheme="minorHAnsi"/>
          <w:lang w:val="en-GB"/>
        </w:rPr>
        <w:t>s</w:t>
      </w:r>
      <w:r w:rsidR="00451DC7" w:rsidRPr="00080559">
        <w:rPr>
          <w:rFonts w:asciiTheme="minorHAnsi" w:hAnsiTheme="minorHAnsi" w:cstheme="minorHAnsi"/>
          <w:lang w:val="en-GB"/>
        </w:rPr>
        <w:t xml:space="preserve"> of a </w:t>
      </w:r>
      <w:r w:rsidR="00E1567B" w:rsidRPr="00080559">
        <w:rPr>
          <w:rFonts w:asciiTheme="minorHAnsi" w:hAnsiTheme="minorHAnsi" w:cstheme="minorHAnsi"/>
          <w:lang w:val="en-GB"/>
        </w:rPr>
        <w:t xml:space="preserve">coherent industry and energy </w:t>
      </w:r>
      <w:r w:rsidR="00080559">
        <w:rPr>
          <w:rFonts w:asciiTheme="minorHAnsi" w:hAnsiTheme="minorHAnsi" w:cstheme="minorHAnsi"/>
          <w:lang w:val="en-GB"/>
        </w:rPr>
        <w:t xml:space="preserve">transition </w:t>
      </w:r>
      <w:r w:rsidR="00E1567B" w:rsidRPr="00080559">
        <w:rPr>
          <w:rFonts w:asciiTheme="minorHAnsi" w:hAnsiTheme="minorHAnsi" w:cstheme="minorHAnsi"/>
          <w:lang w:val="en-GB"/>
        </w:rPr>
        <w:t>policy</w:t>
      </w:r>
      <w:r w:rsidR="00080559" w:rsidRPr="00080559">
        <w:rPr>
          <w:rFonts w:asciiTheme="minorHAnsi" w:hAnsiTheme="minorHAnsi" w:cstheme="minorHAnsi"/>
          <w:lang w:val="en-GB"/>
        </w:rPr>
        <w:t>.</w:t>
      </w:r>
    </w:p>
    <w:p w14:paraId="2DA436E0" w14:textId="77777777" w:rsidR="003815C1" w:rsidRPr="00312347" w:rsidRDefault="003815C1" w:rsidP="00C02A50">
      <w:pPr>
        <w:pStyle w:val="berschrift1"/>
        <w:numPr>
          <w:ilvl w:val="0"/>
          <w:numId w:val="40"/>
        </w:numPr>
        <w:ind w:left="432" w:hanging="432"/>
        <w:rPr>
          <w:rFonts w:asciiTheme="minorHAnsi" w:hAnsiTheme="minorHAnsi" w:cstheme="minorHAnsi"/>
          <w:lang w:val="en-GB"/>
        </w:rPr>
      </w:pPr>
      <w:r w:rsidRPr="00312347">
        <w:rPr>
          <w:rFonts w:asciiTheme="minorHAnsi" w:hAnsiTheme="minorHAnsi" w:cstheme="minorHAnsi"/>
          <w:lang w:val="en-GB"/>
        </w:rPr>
        <w:t>Introduction</w:t>
      </w:r>
    </w:p>
    <w:p w14:paraId="0FD9FF54" w14:textId="77777777" w:rsidR="003815C1" w:rsidRPr="00312347" w:rsidRDefault="003815C1" w:rsidP="003815C1">
      <w:pPr>
        <w:rPr>
          <w:rFonts w:asciiTheme="minorHAnsi" w:hAnsiTheme="minorHAnsi" w:cstheme="minorHAnsi"/>
          <w:szCs w:val="24"/>
          <w:lang w:val="en-US"/>
        </w:rPr>
      </w:pPr>
    </w:p>
    <w:p w14:paraId="3924E5B9" w14:textId="1038B464" w:rsidR="003815C1" w:rsidRPr="00312347" w:rsidRDefault="003815C1" w:rsidP="003815C1">
      <w:pPr>
        <w:pStyle w:val="Listenabsatz"/>
        <w:ind w:left="0"/>
        <w:rPr>
          <w:rFonts w:asciiTheme="minorHAnsi" w:hAnsiTheme="minorHAnsi" w:cstheme="minorHAnsi"/>
          <w:szCs w:val="24"/>
          <w:lang w:val="en-US"/>
        </w:rPr>
      </w:pPr>
      <w:r w:rsidRPr="00312347">
        <w:rPr>
          <w:rFonts w:asciiTheme="minorHAnsi" w:hAnsiTheme="minorHAnsi" w:cstheme="minorHAnsi"/>
          <w:szCs w:val="24"/>
          <w:lang w:val="en-US"/>
        </w:rPr>
        <w:t xml:space="preserve">IFIEC welcomes and in many aspects supports the EU hydrogen strategy as a policy framework to foster the implementation of hydrogen within the European Union. We agree that hydrogen will play an important role towards a </w:t>
      </w:r>
      <w:r w:rsidR="00ED0498">
        <w:rPr>
          <w:rFonts w:asciiTheme="minorHAnsi" w:hAnsiTheme="minorHAnsi" w:cstheme="minorHAnsi"/>
          <w:szCs w:val="24"/>
          <w:lang w:val="en-US"/>
        </w:rPr>
        <w:t>carbon neutral</w:t>
      </w:r>
      <w:r w:rsidRPr="00312347">
        <w:rPr>
          <w:rFonts w:asciiTheme="minorHAnsi" w:hAnsiTheme="minorHAnsi" w:cstheme="minorHAnsi"/>
          <w:szCs w:val="24"/>
          <w:lang w:val="en-US"/>
        </w:rPr>
        <w:t xml:space="preserve"> society as well that particular Energy Intensive Industries, by scaling up their use of hydrogen, should play a key role in developing a sizeable, well-functioning</w:t>
      </w:r>
      <w:r w:rsidR="00AB338D">
        <w:rPr>
          <w:rFonts w:asciiTheme="minorHAnsi" w:hAnsiTheme="minorHAnsi" w:cstheme="minorHAnsi"/>
          <w:szCs w:val="24"/>
          <w:lang w:val="en-US"/>
        </w:rPr>
        <w:t xml:space="preserve"> </w:t>
      </w:r>
      <w:r w:rsidR="00B3084C">
        <w:rPr>
          <w:rFonts w:asciiTheme="minorHAnsi" w:hAnsiTheme="minorHAnsi" w:cstheme="minorHAnsi"/>
          <w:szCs w:val="24"/>
          <w:lang w:val="en-US"/>
        </w:rPr>
        <w:t>green and</w:t>
      </w:r>
      <w:r w:rsidR="00FB1752">
        <w:rPr>
          <w:rFonts w:asciiTheme="minorHAnsi" w:hAnsiTheme="minorHAnsi" w:cstheme="minorHAnsi"/>
          <w:szCs w:val="24"/>
          <w:lang w:val="en-US"/>
        </w:rPr>
        <w:t xml:space="preserve"> </w:t>
      </w:r>
      <w:r w:rsidR="0067439F">
        <w:rPr>
          <w:rFonts w:asciiTheme="minorHAnsi" w:hAnsiTheme="minorHAnsi" w:cstheme="minorHAnsi"/>
          <w:szCs w:val="24"/>
          <w:lang w:val="en-US"/>
        </w:rPr>
        <w:t xml:space="preserve">low carbon </w:t>
      </w:r>
      <w:r w:rsidRPr="00312347">
        <w:rPr>
          <w:rFonts w:asciiTheme="minorHAnsi" w:hAnsiTheme="minorHAnsi" w:cstheme="minorHAnsi"/>
          <w:szCs w:val="24"/>
          <w:lang w:val="en-US"/>
        </w:rPr>
        <w:t>hydrogen market and a cost-effective infrastructure. Industry fosters the development of innovative sustainable technologies and products with carbon and hydrogen as important building blocks for fuels and products. IFEC believes in an organic rollout and phased development of a hydrogen infrastructure, consisting of carbon neutral hydrogen production, transportation, storage, connections and interconnections</w:t>
      </w:r>
      <w:r w:rsidR="001A2745">
        <w:rPr>
          <w:rFonts w:asciiTheme="minorHAnsi" w:hAnsiTheme="minorHAnsi" w:cstheme="minorHAnsi"/>
          <w:szCs w:val="24"/>
          <w:lang w:val="en-US"/>
        </w:rPr>
        <w:t>, evolving i</w:t>
      </w:r>
      <w:r w:rsidRPr="00312347">
        <w:rPr>
          <w:rFonts w:asciiTheme="minorHAnsi" w:hAnsiTheme="minorHAnsi" w:cstheme="minorHAnsi"/>
          <w:szCs w:val="24"/>
          <w:lang w:val="en-US"/>
        </w:rPr>
        <w:t>n time, from a local and national infrastructure via a regional European to a European-wide hydrogen supply system. A system that is both reliable and affordable for users.</w:t>
      </w:r>
    </w:p>
    <w:p w14:paraId="578DCA7D" w14:textId="77777777" w:rsidR="003815C1" w:rsidRPr="00312347" w:rsidRDefault="003815C1" w:rsidP="003815C1">
      <w:pPr>
        <w:rPr>
          <w:rFonts w:asciiTheme="minorHAnsi" w:hAnsiTheme="minorHAnsi" w:cstheme="minorHAnsi"/>
          <w:szCs w:val="24"/>
          <w:lang w:val="en-US"/>
        </w:rPr>
      </w:pPr>
    </w:p>
    <w:p w14:paraId="4A7BE8E4" w14:textId="74D69D0D" w:rsidR="003815C1" w:rsidRPr="00312347" w:rsidRDefault="003815C1" w:rsidP="003815C1">
      <w:pPr>
        <w:rPr>
          <w:rFonts w:asciiTheme="minorHAnsi" w:hAnsiTheme="minorHAnsi" w:cstheme="minorHAnsi"/>
          <w:szCs w:val="24"/>
          <w:lang w:val="en-US"/>
        </w:rPr>
      </w:pPr>
      <w:r w:rsidRPr="00312347">
        <w:rPr>
          <w:rFonts w:asciiTheme="minorHAnsi" w:hAnsiTheme="minorHAnsi" w:cstheme="minorHAnsi"/>
          <w:szCs w:val="24"/>
          <w:lang w:val="en-US"/>
        </w:rPr>
        <w:t xml:space="preserve">In reference to the EU hydrogen strategy, IFIEC is happy to take the given opportunity to contribute </w:t>
      </w:r>
      <w:proofErr w:type="gramStart"/>
      <w:r w:rsidRPr="00312347">
        <w:rPr>
          <w:rFonts w:asciiTheme="minorHAnsi" w:hAnsiTheme="minorHAnsi" w:cstheme="minorHAnsi"/>
          <w:szCs w:val="24"/>
          <w:lang w:val="en-US"/>
        </w:rPr>
        <w:t>a number of</w:t>
      </w:r>
      <w:proofErr w:type="gramEnd"/>
      <w:r w:rsidRPr="00312347">
        <w:rPr>
          <w:rFonts w:asciiTheme="minorHAnsi" w:hAnsiTheme="minorHAnsi" w:cstheme="minorHAnsi"/>
          <w:szCs w:val="24"/>
          <w:lang w:val="en-US"/>
        </w:rPr>
        <w:t xml:space="preserve"> relevant aspects which both may be helpful to implement the EU hydrogen strategy and safeguard the competitiveness of European industry.</w:t>
      </w:r>
    </w:p>
    <w:p w14:paraId="0EA2615A" w14:textId="046FA85B" w:rsidR="003815C1" w:rsidRPr="00FB1752" w:rsidRDefault="003815C1" w:rsidP="00FB1752">
      <w:pPr>
        <w:pStyle w:val="berschrift1"/>
        <w:numPr>
          <w:ilvl w:val="0"/>
          <w:numId w:val="40"/>
        </w:numPr>
        <w:ind w:left="432" w:hanging="432"/>
        <w:rPr>
          <w:rFonts w:asciiTheme="minorHAnsi" w:hAnsiTheme="minorHAnsi" w:cstheme="minorHAnsi"/>
          <w:lang w:val="en-GB"/>
        </w:rPr>
      </w:pPr>
      <w:r w:rsidRPr="00FB1752">
        <w:rPr>
          <w:rFonts w:asciiTheme="minorHAnsi" w:hAnsiTheme="minorHAnsi" w:cstheme="minorHAnsi"/>
          <w:lang w:val="en-GB"/>
        </w:rPr>
        <w:t xml:space="preserve">A Carbon neutral future demands more </w:t>
      </w:r>
      <w:r w:rsidR="00B3084C">
        <w:rPr>
          <w:rFonts w:asciiTheme="minorHAnsi" w:hAnsiTheme="minorHAnsi" w:cstheme="minorHAnsi"/>
          <w:lang w:val="en-GB"/>
        </w:rPr>
        <w:t xml:space="preserve">green and </w:t>
      </w:r>
      <w:r w:rsidR="00ED135E" w:rsidRPr="00FB1752">
        <w:rPr>
          <w:rFonts w:asciiTheme="minorHAnsi" w:hAnsiTheme="minorHAnsi" w:cstheme="minorHAnsi"/>
          <w:lang w:val="en-GB"/>
        </w:rPr>
        <w:t>low carbon</w:t>
      </w:r>
      <w:r w:rsidRPr="00FB1752">
        <w:rPr>
          <w:rFonts w:asciiTheme="minorHAnsi" w:hAnsiTheme="minorHAnsi" w:cstheme="minorHAnsi"/>
          <w:lang w:val="en-GB"/>
        </w:rPr>
        <w:t xml:space="preserve"> energy</w:t>
      </w:r>
    </w:p>
    <w:p w14:paraId="7E6B0FC6" w14:textId="77777777" w:rsidR="0097025F" w:rsidRDefault="0097025F" w:rsidP="003815C1">
      <w:pPr>
        <w:rPr>
          <w:rFonts w:asciiTheme="minorHAnsi" w:hAnsiTheme="minorHAnsi" w:cstheme="minorHAnsi"/>
          <w:szCs w:val="24"/>
          <w:lang w:val="en-US"/>
        </w:rPr>
      </w:pPr>
    </w:p>
    <w:p w14:paraId="067D6A1A" w14:textId="6A6D1D78" w:rsidR="003815C1" w:rsidRPr="00312347" w:rsidRDefault="003815C1" w:rsidP="003815C1">
      <w:pPr>
        <w:rPr>
          <w:rFonts w:asciiTheme="minorHAnsi" w:hAnsiTheme="minorHAnsi" w:cstheme="minorHAnsi"/>
          <w:szCs w:val="24"/>
          <w:lang w:val="en-US"/>
        </w:rPr>
      </w:pPr>
      <w:r w:rsidRPr="00312347">
        <w:rPr>
          <w:rFonts w:asciiTheme="minorHAnsi" w:hAnsiTheme="minorHAnsi" w:cstheme="minorHAnsi"/>
          <w:szCs w:val="24"/>
          <w:lang w:val="en-US"/>
        </w:rPr>
        <w:t xml:space="preserve">IFIEC advocates </w:t>
      </w:r>
      <w:r w:rsidR="00813226">
        <w:rPr>
          <w:rFonts w:asciiTheme="minorHAnsi" w:hAnsiTheme="minorHAnsi" w:cstheme="minorHAnsi"/>
          <w:szCs w:val="24"/>
          <w:lang w:val="en-US"/>
        </w:rPr>
        <w:t>for the development of</w:t>
      </w:r>
      <w:r w:rsidR="00813226"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 xml:space="preserve">a coherent and consistent EU industry and energy policy including hydrogen to ensure a </w:t>
      </w:r>
      <w:r w:rsidR="00ED0498">
        <w:rPr>
          <w:rFonts w:asciiTheme="minorHAnsi" w:hAnsiTheme="minorHAnsi" w:cstheme="minorHAnsi"/>
          <w:szCs w:val="24"/>
          <w:lang w:val="en-US"/>
        </w:rPr>
        <w:t>carbon neutral</w:t>
      </w:r>
      <w:r w:rsidRPr="00312347">
        <w:rPr>
          <w:rFonts w:asciiTheme="minorHAnsi" w:hAnsiTheme="minorHAnsi" w:cstheme="minorHAnsi"/>
          <w:szCs w:val="24"/>
          <w:lang w:val="en-US"/>
        </w:rPr>
        <w:t xml:space="preserve"> future. This includes </w:t>
      </w:r>
      <w:r w:rsidR="00B3084C">
        <w:rPr>
          <w:rFonts w:asciiTheme="minorHAnsi" w:hAnsiTheme="minorHAnsi" w:cstheme="minorHAnsi"/>
          <w:szCs w:val="24"/>
          <w:lang w:val="en-US"/>
        </w:rPr>
        <w:t>green and</w:t>
      </w:r>
      <w:r w:rsidR="002C79D5">
        <w:rPr>
          <w:rFonts w:asciiTheme="minorHAnsi" w:hAnsiTheme="minorHAnsi" w:cstheme="minorHAnsi"/>
          <w:szCs w:val="24"/>
          <w:lang w:val="en-US"/>
        </w:rPr>
        <w:t xml:space="preserve"> </w:t>
      </w:r>
      <w:r w:rsidR="006D2067">
        <w:rPr>
          <w:rFonts w:asciiTheme="minorHAnsi" w:hAnsiTheme="minorHAnsi" w:cstheme="minorHAnsi"/>
          <w:szCs w:val="24"/>
          <w:lang w:val="en-US"/>
        </w:rPr>
        <w:t>low carbon</w:t>
      </w:r>
      <w:r w:rsidR="006D2067"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 xml:space="preserve">energy carriers and feedstocks and circular processes. More assessment is needed </w:t>
      </w:r>
      <w:r w:rsidR="00813226">
        <w:rPr>
          <w:rFonts w:asciiTheme="minorHAnsi" w:hAnsiTheme="minorHAnsi" w:cstheme="minorHAnsi"/>
          <w:szCs w:val="24"/>
          <w:lang w:val="en-US"/>
        </w:rPr>
        <w:t xml:space="preserve">on </w:t>
      </w:r>
      <w:r w:rsidRPr="00312347">
        <w:rPr>
          <w:rFonts w:asciiTheme="minorHAnsi" w:hAnsiTheme="minorHAnsi" w:cstheme="minorHAnsi"/>
          <w:szCs w:val="24"/>
          <w:lang w:val="en-US"/>
        </w:rPr>
        <w:t xml:space="preserve">when and where more </w:t>
      </w:r>
      <w:r w:rsidR="00B3084C">
        <w:rPr>
          <w:rFonts w:asciiTheme="minorHAnsi" w:hAnsiTheme="minorHAnsi" w:cstheme="minorHAnsi"/>
          <w:szCs w:val="24"/>
          <w:lang w:val="en-US"/>
        </w:rPr>
        <w:t xml:space="preserve">green and </w:t>
      </w:r>
      <w:r w:rsidR="00813226">
        <w:rPr>
          <w:rFonts w:asciiTheme="minorHAnsi" w:hAnsiTheme="minorHAnsi" w:cstheme="minorHAnsi"/>
          <w:szCs w:val="24"/>
          <w:lang w:val="en-US"/>
        </w:rPr>
        <w:t xml:space="preserve">low carbon </w:t>
      </w:r>
      <w:r w:rsidRPr="00312347">
        <w:rPr>
          <w:rFonts w:asciiTheme="minorHAnsi" w:hAnsiTheme="minorHAnsi" w:cstheme="minorHAnsi"/>
          <w:szCs w:val="24"/>
          <w:lang w:val="en-US"/>
        </w:rPr>
        <w:t xml:space="preserve">energy is needed and where conflicting regulation may hamper the transition and consequently </w:t>
      </w:r>
      <w:proofErr w:type="gramStart"/>
      <w:r w:rsidRPr="00312347">
        <w:rPr>
          <w:rFonts w:asciiTheme="minorHAnsi" w:hAnsiTheme="minorHAnsi" w:cstheme="minorHAnsi"/>
          <w:szCs w:val="24"/>
          <w:lang w:val="en-US"/>
        </w:rPr>
        <w:t>has to</w:t>
      </w:r>
      <w:proofErr w:type="gramEnd"/>
      <w:r w:rsidRPr="00312347">
        <w:rPr>
          <w:rFonts w:asciiTheme="minorHAnsi" w:hAnsiTheme="minorHAnsi" w:cstheme="minorHAnsi"/>
          <w:szCs w:val="24"/>
          <w:lang w:val="en-US"/>
        </w:rPr>
        <w:t xml:space="preserve"> be removed. This assessment should </w:t>
      </w:r>
      <w:proofErr w:type="gramStart"/>
      <w:r w:rsidRPr="00312347">
        <w:rPr>
          <w:rFonts w:asciiTheme="minorHAnsi" w:hAnsiTheme="minorHAnsi" w:cstheme="minorHAnsi"/>
          <w:szCs w:val="24"/>
          <w:lang w:val="en-US"/>
        </w:rPr>
        <w:t>look into</w:t>
      </w:r>
      <w:proofErr w:type="gramEnd"/>
      <w:r w:rsidRPr="00312347">
        <w:rPr>
          <w:rFonts w:asciiTheme="minorHAnsi" w:hAnsiTheme="minorHAnsi" w:cstheme="minorHAnsi"/>
          <w:szCs w:val="24"/>
          <w:lang w:val="en-US"/>
        </w:rPr>
        <w:t xml:space="preserve"> how much energy is needed, where it is coming from, how to displace it over time, at what cost and how this interacts with an EED</w:t>
      </w:r>
      <w:r w:rsidRPr="00312347">
        <w:rPr>
          <w:rStyle w:val="Funotenzeichen"/>
          <w:rFonts w:asciiTheme="minorHAnsi" w:hAnsiTheme="minorHAnsi" w:cstheme="minorHAnsi"/>
          <w:szCs w:val="24"/>
          <w:lang w:val="en-US"/>
        </w:rPr>
        <w:footnoteReference w:id="1"/>
      </w:r>
      <w:r w:rsidRPr="00312347">
        <w:rPr>
          <w:rFonts w:asciiTheme="minorHAnsi" w:hAnsiTheme="minorHAnsi" w:cstheme="minorHAnsi"/>
          <w:szCs w:val="24"/>
          <w:lang w:val="en-US"/>
        </w:rPr>
        <w:t xml:space="preserve"> energy usage cap. Obviously we need more </w:t>
      </w:r>
      <w:r w:rsidR="00B3084C">
        <w:rPr>
          <w:rFonts w:asciiTheme="minorHAnsi" w:hAnsiTheme="minorHAnsi" w:cstheme="minorHAnsi"/>
          <w:szCs w:val="24"/>
          <w:lang w:val="en-US"/>
        </w:rPr>
        <w:t xml:space="preserve">green and </w:t>
      </w:r>
      <w:r w:rsidR="006D2067">
        <w:rPr>
          <w:rFonts w:asciiTheme="minorHAnsi" w:hAnsiTheme="minorHAnsi" w:cstheme="minorHAnsi"/>
          <w:szCs w:val="24"/>
          <w:lang w:val="en-US"/>
        </w:rPr>
        <w:t>low carbon</w:t>
      </w:r>
      <w:r w:rsidRPr="00312347">
        <w:rPr>
          <w:rFonts w:asciiTheme="minorHAnsi" w:hAnsiTheme="minorHAnsi" w:cstheme="minorHAnsi"/>
          <w:szCs w:val="24"/>
          <w:lang w:val="en-US"/>
        </w:rPr>
        <w:t xml:space="preserve"> energy. The hydrogen strategy paper of the Commission shows that the production of green hydrogen by electrolysis goes with an additional electricity demand. Based on the current</w:t>
      </w:r>
      <w:r w:rsidR="00B3084C">
        <w:rPr>
          <w:rFonts w:asciiTheme="minorHAnsi" w:hAnsiTheme="minorHAnsi" w:cstheme="minorHAnsi"/>
          <w:szCs w:val="24"/>
          <w:lang w:val="en-US"/>
        </w:rPr>
        <w:t xml:space="preserve"> electrolysis</w:t>
      </w:r>
      <w:r w:rsidRPr="00312347">
        <w:rPr>
          <w:rFonts w:asciiTheme="minorHAnsi" w:hAnsiTheme="minorHAnsi" w:cstheme="minorHAnsi"/>
          <w:szCs w:val="24"/>
          <w:lang w:val="en-US"/>
        </w:rPr>
        <w:t xml:space="preserve"> technology, it takes 55 kWh to produce one kg of hydrogen with an energy content of 33,3 kWh. The assessment should include the trade- off between hydrogen and electricity, taken into account the impact of the strong increasing demand by hydrogen </w:t>
      </w:r>
      <w:r w:rsidRPr="00312347">
        <w:rPr>
          <w:rFonts w:asciiTheme="minorHAnsi" w:hAnsiTheme="minorHAnsi" w:cstheme="minorHAnsi"/>
          <w:szCs w:val="24"/>
          <w:lang w:val="en-US"/>
        </w:rPr>
        <w:lastRenderedPageBreak/>
        <w:t>production via electrolysis and the electrification of the industry and other sectors, such as mobility, domestic (households), and ICT data centers.</w:t>
      </w:r>
    </w:p>
    <w:p w14:paraId="145C27F6" w14:textId="77777777" w:rsidR="003815C1" w:rsidRPr="00312347" w:rsidRDefault="003815C1" w:rsidP="003815C1">
      <w:pPr>
        <w:rPr>
          <w:rFonts w:asciiTheme="minorHAnsi" w:hAnsiTheme="minorHAnsi" w:cstheme="minorHAnsi"/>
          <w:szCs w:val="24"/>
          <w:lang w:val="en-US"/>
        </w:rPr>
      </w:pPr>
    </w:p>
    <w:p w14:paraId="2E75CAE8" w14:textId="26EFBCD6" w:rsidR="003815C1" w:rsidRPr="00312347" w:rsidRDefault="003815C1" w:rsidP="003815C1">
      <w:pPr>
        <w:rPr>
          <w:rFonts w:asciiTheme="minorHAnsi" w:hAnsiTheme="minorHAnsi" w:cstheme="minorHAnsi"/>
          <w:szCs w:val="24"/>
          <w:lang w:val="en-US"/>
        </w:rPr>
      </w:pPr>
      <w:r w:rsidRPr="00312347">
        <w:rPr>
          <w:rFonts w:asciiTheme="minorHAnsi" w:hAnsiTheme="minorHAnsi" w:cstheme="minorHAnsi"/>
          <w:szCs w:val="24"/>
          <w:lang w:val="en-US"/>
        </w:rPr>
        <w:t xml:space="preserve">In its </w:t>
      </w:r>
      <w:r w:rsidR="001A2745" w:rsidRPr="00312347">
        <w:rPr>
          <w:rFonts w:asciiTheme="minorHAnsi" w:hAnsiTheme="minorHAnsi" w:cstheme="minorHAnsi"/>
          <w:szCs w:val="24"/>
          <w:lang w:val="en-US"/>
        </w:rPr>
        <w:t>Long-Term</w:t>
      </w:r>
      <w:r w:rsidRPr="00312347">
        <w:rPr>
          <w:rFonts w:asciiTheme="minorHAnsi" w:hAnsiTheme="minorHAnsi" w:cstheme="minorHAnsi"/>
          <w:szCs w:val="24"/>
          <w:lang w:val="en-US"/>
        </w:rPr>
        <w:t xml:space="preserve"> Climate Vision, the EC concludes that the share of electricity in final energy demand will at least double by 2050, whilst the electricity production is expected to increase at least 35 percent more by 2050</w:t>
      </w:r>
      <w:r w:rsidRPr="00312347">
        <w:rPr>
          <w:rStyle w:val="Funotenzeichen"/>
          <w:rFonts w:asciiTheme="minorHAnsi" w:hAnsiTheme="minorHAnsi" w:cstheme="minorHAnsi"/>
          <w:szCs w:val="24"/>
          <w:lang w:val="en-US"/>
        </w:rPr>
        <w:footnoteReference w:id="2"/>
      </w:r>
      <w:r w:rsidRPr="00312347">
        <w:rPr>
          <w:rFonts w:asciiTheme="minorHAnsi" w:hAnsiTheme="minorHAnsi" w:cstheme="minorHAnsi"/>
          <w:szCs w:val="24"/>
          <w:lang w:val="en-US"/>
        </w:rPr>
        <w:t>. This is even an underestimation compared to other studies such as McKinsey</w:t>
      </w:r>
      <w:r w:rsidRPr="00312347">
        <w:rPr>
          <w:rStyle w:val="Funotenzeichen"/>
          <w:rFonts w:asciiTheme="minorHAnsi" w:hAnsiTheme="minorHAnsi" w:cstheme="minorHAnsi"/>
          <w:szCs w:val="24"/>
          <w:lang w:val="en-US"/>
        </w:rPr>
        <w:footnoteReference w:id="3"/>
      </w:r>
      <w:r w:rsidRPr="00312347">
        <w:rPr>
          <w:rFonts w:asciiTheme="minorHAnsi" w:hAnsiTheme="minorHAnsi" w:cstheme="minorHAnsi"/>
          <w:szCs w:val="24"/>
          <w:lang w:val="en-US"/>
        </w:rPr>
        <w:t xml:space="preserve"> or </w:t>
      </w:r>
      <w:proofErr w:type="spellStart"/>
      <w:r w:rsidRPr="00312347">
        <w:rPr>
          <w:rFonts w:asciiTheme="minorHAnsi" w:hAnsiTheme="minorHAnsi" w:cstheme="minorHAnsi"/>
          <w:szCs w:val="24"/>
          <w:lang w:val="en-US"/>
        </w:rPr>
        <w:t>Dechema</w:t>
      </w:r>
      <w:proofErr w:type="spellEnd"/>
      <w:r w:rsidRPr="00312347">
        <w:rPr>
          <w:rStyle w:val="Funotenzeichen"/>
          <w:rFonts w:asciiTheme="minorHAnsi" w:hAnsiTheme="minorHAnsi" w:cstheme="minorHAnsi"/>
          <w:szCs w:val="24"/>
          <w:lang w:val="en-US"/>
        </w:rPr>
        <w:footnoteReference w:id="4"/>
      </w:r>
      <w:r w:rsidRPr="00312347">
        <w:rPr>
          <w:rFonts w:asciiTheme="minorHAnsi" w:hAnsiTheme="minorHAnsi" w:cstheme="minorHAnsi"/>
          <w:szCs w:val="24"/>
          <w:lang w:val="en-US"/>
        </w:rPr>
        <w:t xml:space="preserve"> . </w:t>
      </w:r>
      <w:r w:rsidR="007059A8" w:rsidRPr="007059A8">
        <w:rPr>
          <w:rFonts w:asciiTheme="minorHAnsi" w:hAnsiTheme="minorHAnsi" w:cstheme="minorHAnsi"/>
          <w:szCs w:val="24"/>
          <w:lang w:val="en-US"/>
        </w:rPr>
        <w:t>Against this background, IFIEC is concerned about the impact of the strategy on the availability of electricity, and in particular</w:t>
      </w:r>
      <w:r w:rsidR="00A35B07">
        <w:rPr>
          <w:rFonts w:asciiTheme="minorHAnsi" w:hAnsiTheme="minorHAnsi" w:cstheme="minorHAnsi"/>
          <w:szCs w:val="24"/>
          <w:lang w:val="en-US"/>
        </w:rPr>
        <w:t xml:space="preserve"> green and</w:t>
      </w:r>
      <w:r w:rsidR="007059A8" w:rsidRPr="007059A8">
        <w:rPr>
          <w:rFonts w:asciiTheme="minorHAnsi" w:hAnsiTheme="minorHAnsi" w:cstheme="minorHAnsi"/>
          <w:szCs w:val="24"/>
          <w:lang w:val="en-US"/>
        </w:rPr>
        <w:t xml:space="preserve"> low-carbon electricity, for existing industrial intensive users and the resulting increase in costs which would seriously affect those already exposed to high risk of carbon leakage.   </w:t>
      </w:r>
      <w:r w:rsidRPr="00312347">
        <w:rPr>
          <w:rFonts w:asciiTheme="minorHAnsi" w:hAnsiTheme="minorHAnsi" w:cstheme="minorHAnsi"/>
          <w:szCs w:val="24"/>
          <w:lang w:val="en-US"/>
        </w:rPr>
        <w:t xml:space="preserve">An extra transition challenge in producing hydrogen or other products from (low carbon) electricity is the additional requirement of energy at times and locations where it is not produced. </w:t>
      </w:r>
    </w:p>
    <w:p w14:paraId="77F5E525" w14:textId="77777777" w:rsidR="003815C1" w:rsidRPr="00312347" w:rsidRDefault="003815C1" w:rsidP="003815C1">
      <w:pPr>
        <w:spacing w:line="240" w:lineRule="auto"/>
        <w:rPr>
          <w:rFonts w:asciiTheme="minorHAnsi" w:hAnsiTheme="minorHAnsi" w:cstheme="minorHAnsi"/>
          <w:szCs w:val="24"/>
          <w:lang w:val="en-US"/>
        </w:rPr>
      </w:pPr>
    </w:p>
    <w:p w14:paraId="2F64A57E" w14:textId="5D01E62F" w:rsidR="003815C1" w:rsidRPr="00312347" w:rsidRDefault="003815C1" w:rsidP="003815C1">
      <w:pPr>
        <w:rPr>
          <w:rFonts w:asciiTheme="minorHAnsi" w:hAnsiTheme="minorHAnsi" w:cstheme="minorHAnsi"/>
          <w:szCs w:val="24"/>
          <w:lang w:val="en-US"/>
        </w:rPr>
      </w:pPr>
      <w:r w:rsidRPr="00701C7B">
        <w:rPr>
          <w:rFonts w:asciiTheme="minorHAnsi" w:hAnsiTheme="minorHAnsi" w:cstheme="minorHAnsi"/>
          <w:b/>
          <w:bCs/>
          <w:szCs w:val="24"/>
          <w:lang w:val="en-US"/>
        </w:rPr>
        <w:t>With respect to the forecasted hydrogen production for 2024, IFIEC questions whether the assumptions in the EU Hydrogen strategy paper are consistent and not too ambitious</w:t>
      </w:r>
      <w:r w:rsidRPr="00312347">
        <w:rPr>
          <w:rFonts w:asciiTheme="minorHAnsi" w:hAnsiTheme="minorHAnsi" w:cstheme="minorHAnsi"/>
          <w:szCs w:val="24"/>
          <w:lang w:val="en-US"/>
        </w:rPr>
        <w:t xml:space="preserve">. It is not likely that the installation of 6 GW electrolysis capacity will produce 1 million tons of renewable hydrogen, as it would require an operation time of up to 8700 hrs/annum. Besides, in the strategy paper it is mentioned that the electricity demand for hydrogen production should be enabled in particular at times of abundant supply of renewable electricity in the grid, which is more realistic (lower costs), but will consequently lead to less running hours (2500 hrs/annum). Moreover, the announced plans are uncertain and not yet based on Final Investment Decisions by company boards. In addition, this aim does not seem realistic considering the availability of volatile renewable sources like wind and photovoltaic, especially if the requirements of the Renewable Energy Directive (RED II) would have to be fulfilled. If only renewable electricity </w:t>
      </w:r>
      <w:r w:rsidRPr="0097025F">
        <w:rPr>
          <w:rFonts w:asciiTheme="minorHAnsi" w:hAnsiTheme="minorHAnsi" w:cstheme="minorHAnsi"/>
          <w:szCs w:val="24"/>
          <w:lang w:val="en-US"/>
        </w:rPr>
        <w:t>peaks</w:t>
      </w:r>
      <w:r w:rsidRPr="00312347">
        <w:rPr>
          <w:rFonts w:asciiTheme="minorHAnsi" w:hAnsiTheme="minorHAnsi" w:cstheme="minorHAnsi"/>
          <w:szCs w:val="24"/>
          <w:lang w:val="en-US"/>
        </w:rPr>
        <w:t xml:space="preserve"> are to be used for hydrogen production, a more accurate investment level would increase by a factor between 2 to 3</w:t>
      </w:r>
      <w:r w:rsidR="00A35B07">
        <w:rPr>
          <w:rFonts w:asciiTheme="minorHAnsi" w:hAnsiTheme="minorHAnsi" w:cstheme="minorHAnsi"/>
          <w:szCs w:val="24"/>
          <w:lang w:val="en-US"/>
        </w:rPr>
        <w:t xml:space="preserve"> (based on 2020 figures</w:t>
      </w:r>
      <w:r w:rsidR="0097025F">
        <w:rPr>
          <w:rFonts w:asciiTheme="minorHAnsi" w:hAnsiTheme="minorHAnsi" w:cstheme="minorHAnsi"/>
          <w:szCs w:val="24"/>
          <w:lang w:val="en-US"/>
        </w:rPr>
        <w:t>),</w:t>
      </w:r>
      <w:r w:rsidR="0097025F"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 xml:space="preserve">leading to a </w:t>
      </w:r>
      <w:r w:rsidR="00E76A28">
        <w:rPr>
          <w:rFonts w:asciiTheme="minorHAnsi" w:hAnsiTheme="minorHAnsi" w:cstheme="minorHAnsi"/>
          <w:szCs w:val="24"/>
          <w:lang w:val="en-US"/>
        </w:rPr>
        <w:t xml:space="preserve">substantial higher </w:t>
      </w:r>
      <w:r w:rsidRPr="00312347">
        <w:rPr>
          <w:rFonts w:asciiTheme="minorHAnsi" w:hAnsiTheme="minorHAnsi" w:cstheme="minorHAnsi"/>
          <w:szCs w:val="24"/>
          <w:lang w:val="en-US"/>
        </w:rPr>
        <w:t xml:space="preserve">potential hydrogen production </w:t>
      </w:r>
      <w:r w:rsidR="001A2745">
        <w:rPr>
          <w:rFonts w:asciiTheme="minorHAnsi" w:hAnsiTheme="minorHAnsi" w:cstheme="minorHAnsi"/>
          <w:szCs w:val="24"/>
          <w:lang w:val="en-US"/>
        </w:rPr>
        <w:t>capacity</w:t>
      </w:r>
      <w:r w:rsidRPr="00312347">
        <w:rPr>
          <w:rFonts w:asciiTheme="minorHAnsi" w:hAnsiTheme="minorHAnsi" w:cstheme="minorHAnsi"/>
          <w:szCs w:val="24"/>
          <w:lang w:val="en-US"/>
        </w:rPr>
        <w:t>.</w:t>
      </w:r>
    </w:p>
    <w:p w14:paraId="432D9FBA" w14:textId="77777777" w:rsidR="003815C1" w:rsidRPr="00312347" w:rsidRDefault="003815C1" w:rsidP="003815C1">
      <w:pPr>
        <w:rPr>
          <w:rFonts w:asciiTheme="minorHAnsi" w:hAnsiTheme="minorHAnsi" w:cstheme="minorHAnsi"/>
          <w:szCs w:val="24"/>
          <w:lang w:val="en-US"/>
        </w:rPr>
      </w:pPr>
    </w:p>
    <w:p w14:paraId="48556AF3" w14:textId="28E2126A" w:rsidR="003815C1" w:rsidRPr="00312347" w:rsidRDefault="003815C1" w:rsidP="003815C1">
      <w:pPr>
        <w:rPr>
          <w:rFonts w:asciiTheme="minorHAnsi" w:hAnsiTheme="minorHAnsi" w:cstheme="minorHAnsi"/>
          <w:szCs w:val="24"/>
          <w:lang w:val="en-US"/>
        </w:rPr>
      </w:pPr>
      <w:r w:rsidRPr="00312347">
        <w:rPr>
          <w:rFonts w:asciiTheme="minorHAnsi" w:hAnsiTheme="minorHAnsi" w:cstheme="minorHAnsi"/>
          <w:szCs w:val="24"/>
          <w:lang w:val="en-US"/>
        </w:rPr>
        <w:t xml:space="preserve">A comparable situation is seen in the hydrogen production extension plan </w:t>
      </w:r>
      <w:r w:rsidR="001A2745">
        <w:rPr>
          <w:rFonts w:asciiTheme="minorHAnsi" w:hAnsiTheme="minorHAnsi" w:cstheme="minorHAnsi"/>
          <w:szCs w:val="24"/>
          <w:lang w:val="en-US"/>
        </w:rPr>
        <w:t>in</w:t>
      </w:r>
      <w:r w:rsidR="001A2745"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 xml:space="preserve">phase two, </w:t>
      </w:r>
      <w:r w:rsidR="0097025F" w:rsidRPr="00312347">
        <w:rPr>
          <w:rFonts w:asciiTheme="minorHAnsi" w:hAnsiTheme="minorHAnsi" w:cstheme="minorHAnsi"/>
          <w:szCs w:val="24"/>
          <w:lang w:val="en-US"/>
        </w:rPr>
        <w:t>realizing</w:t>
      </w:r>
      <w:r w:rsidRPr="00312347">
        <w:rPr>
          <w:rFonts w:asciiTheme="minorHAnsi" w:hAnsiTheme="minorHAnsi" w:cstheme="minorHAnsi"/>
          <w:szCs w:val="24"/>
          <w:lang w:val="en-US"/>
        </w:rPr>
        <w:t xml:space="preserve"> 10 million tons in 2030. To get to such high operation hours of </w:t>
      </w:r>
      <w:proofErr w:type="spellStart"/>
      <w:r w:rsidR="0097025F" w:rsidRPr="00312347">
        <w:rPr>
          <w:rFonts w:asciiTheme="minorHAnsi" w:hAnsiTheme="minorHAnsi" w:cstheme="minorHAnsi"/>
          <w:szCs w:val="24"/>
          <w:lang w:val="en-US"/>
        </w:rPr>
        <w:t>electroly</w:t>
      </w:r>
      <w:r w:rsidR="0097025F">
        <w:rPr>
          <w:rFonts w:asciiTheme="minorHAnsi" w:hAnsiTheme="minorHAnsi" w:cstheme="minorHAnsi"/>
          <w:szCs w:val="24"/>
          <w:lang w:val="en-US"/>
        </w:rPr>
        <w:t>z</w:t>
      </w:r>
      <w:r w:rsidR="0097025F" w:rsidRPr="00312347">
        <w:rPr>
          <w:rFonts w:asciiTheme="minorHAnsi" w:hAnsiTheme="minorHAnsi" w:cstheme="minorHAnsi"/>
          <w:szCs w:val="24"/>
          <w:lang w:val="en-US"/>
        </w:rPr>
        <w:t>ers</w:t>
      </w:r>
      <w:proofErr w:type="spellEnd"/>
      <w:r w:rsidR="0097025F"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to produce renewable hydrogen, then either:</w:t>
      </w:r>
    </w:p>
    <w:p w14:paraId="0FF4D7F4" w14:textId="77777777" w:rsidR="003815C1" w:rsidRPr="00312347" w:rsidRDefault="003815C1" w:rsidP="003815C1">
      <w:pPr>
        <w:pStyle w:val="Listenabsatz"/>
        <w:numPr>
          <w:ilvl w:val="0"/>
          <w:numId w:val="39"/>
        </w:numPr>
        <w:contextualSpacing w:val="0"/>
        <w:rPr>
          <w:rFonts w:asciiTheme="minorHAnsi" w:hAnsiTheme="minorHAnsi" w:cstheme="minorHAnsi"/>
          <w:szCs w:val="24"/>
          <w:lang w:val="en-US"/>
        </w:rPr>
      </w:pPr>
      <w:r w:rsidRPr="00312347">
        <w:rPr>
          <w:rFonts w:asciiTheme="minorHAnsi" w:hAnsiTheme="minorHAnsi" w:cstheme="minorHAnsi"/>
          <w:szCs w:val="24"/>
          <w:lang w:val="en-US"/>
        </w:rPr>
        <w:t>The units operate full-time – using both thermal and renewable electricity, dedicated for hydrogen production and making no contribution to grid stabilization and load management;</w:t>
      </w:r>
    </w:p>
    <w:p w14:paraId="3F0D5FCB" w14:textId="77777777" w:rsidR="003815C1" w:rsidRPr="00312347" w:rsidRDefault="003815C1" w:rsidP="003815C1">
      <w:pPr>
        <w:pStyle w:val="Listenabsatz"/>
        <w:numPr>
          <w:ilvl w:val="0"/>
          <w:numId w:val="39"/>
        </w:numPr>
        <w:contextualSpacing w:val="0"/>
        <w:rPr>
          <w:rFonts w:asciiTheme="minorHAnsi" w:hAnsiTheme="minorHAnsi" w:cstheme="minorHAnsi"/>
          <w:szCs w:val="24"/>
          <w:lang w:val="en-US"/>
        </w:rPr>
      </w:pPr>
      <w:r w:rsidRPr="00312347">
        <w:rPr>
          <w:rFonts w:asciiTheme="minorHAnsi" w:hAnsiTheme="minorHAnsi" w:cstheme="minorHAnsi"/>
          <w:szCs w:val="24"/>
          <w:lang w:val="en-US"/>
        </w:rPr>
        <w:t xml:space="preserve">Many more units are needed, if </w:t>
      </w:r>
      <w:r w:rsidRPr="00701C7B">
        <w:rPr>
          <w:rFonts w:asciiTheme="minorHAnsi" w:hAnsiTheme="minorHAnsi" w:cstheme="minorHAnsi"/>
          <w:b/>
          <w:bCs/>
          <w:szCs w:val="24"/>
          <w:lang w:val="en-US"/>
        </w:rPr>
        <w:t>only surpluses of renewable electricity are</w:t>
      </w:r>
      <w:r w:rsidRPr="00312347">
        <w:rPr>
          <w:rFonts w:asciiTheme="minorHAnsi" w:hAnsiTheme="minorHAnsi" w:cstheme="minorHAnsi"/>
          <w:szCs w:val="24"/>
          <w:lang w:val="en-US"/>
        </w:rPr>
        <w:t xml:space="preserve"> being used, thereby improving grid stability and renewables penetration. But then, still, the question arises whether there is </w:t>
      </w:r>
      <w:proofErr w:type="gramStart"/>
      <w:r w:rsidRPr="00312347">
        <w:rPr>
          <w:rFonts w:asciiTheme="minorHAnsi" w:hAnsiTheme="minorHAnsi" w:cstheme="minorHAnsi"/>
          <w:szCs w:val="24"/>
          <w:lang w:val="en-US"/>
        </w:rPr>
        <w:t>sufficient</w:t>
      </w:r>
      <w:proofErr w:type="gramEnd"/>
      <w:r w:rsidRPr="00312347">
        <w:rPr>
          <w:rFonts w:asciiTheme="minorHAnsi" w:hAnsiTheme="minorHAnsi" w:cstheme="minorHAnsi"/>
          <w:szCs w:val="24"/>
          <w:lang w:val="en-US"/>
        </w:rPr>
        <w:t xml:space="preserve"> surplus electricity from RES-E.</w:t>
      </w:r>
    </w:p>
    <w:p w14:paraId="7F20B267" w14:textId="77777777" w:rsidR="003815C1" w:rsidRPr="00312347" w:rsidRDefault="003815C1" w:rsidP="003815C1">
      <w:pPr>
        <w:rPr>
          <w:rFonts w:asciiTheme="minorHAnsi" w:hAnsiTheme="minorHAnsi" w:cstheme="minorHAnsi"/>
          <w:szCs w:val="24"/>
          <w:lang w:val="en-US"/>
        </w:rPr>
      </w:pPr>
    </w:p>
    <w:p w14:paraId="79F15A40" w14:textId="6552BAD9" w:rsidR="003815C1" w:rsidRPr="00312347" w:rsidRDefault="003815C1" w:rsidP="003815C1">
      <w:pPr>
        <w:rPr>
          <w:rFonts w:asciiTheme="minorHAnsi" w:hAnsiTheme="minorHAnsi" w:cstheme="minorHAnsi"/>
          <w:szCs w:val="24"/>
          <w:lang w:val="en-US"/>
        </w:rPr>
      </w:pPr>
      <w:r w:rsidRPr="00312347">
        <w:rPr>
          <w:rFonts w:asciiTheme="minorHAnsi" w:hAnsiTheme="minorHAnsi" w:cstheme="minorHAnsi"/>
          <w:szCs w:val="24"/>
          <w:lang w:val="en-US"/>
        </w:rPr>
        <w:t xml:space="preserve">These assumptions lead to uncertainty of a stable and secure energy supply in the public electricity grid and a limited amount of </w:t>
      </w:r>
      <w:r w:rsidR="00E76A28">
        <w:rPr>
          <w:rFonts w:asciiTheme="minorHAnsi" w:hAnsiTheme="minorHAnsi" w:cstheme="minorHAnsi"/>
          <w:szCs w:val="24"/>
          <w:lang w:val="en-US"/>
        </w:rPr>
        <w:t xml:space="preserve">green and </w:t>
      </w:r>
      <w:r w:rsidR="002F4201">
        <w:rPr>
          <w:rFonts w:asciiTheme="minorHAnsi" w:hAnsiTheme="minorHAnsi" w:cstheme="minorHAnsi"/>
          <w:szCs w:val="24"/>
          <w:lang w:val="en-US"/>
        </w:rPr>
        <w:t>low</w:t>
      </w:r>
      <w:r w:rsidR="002C79D5">
        <w:rPr>
          <w:rFonts w:asciiTheme="minorHAnsi" w:hAnsiTheme="minorHAnsi" w:cstheme="minorHAnsi"/>
          <w:szCs w:val="24"/>
          <w:lang w:val="en-US"/>
        </w:rPr>
        <w:t xml:space="preserve"> </w:t>
      </w:r>
      <w:r w:rsidR="002F4201">
        <w:rPr>
          <w:rFonts w:asciiTheme="minorHAnsi" w:hAnsiTheme="minorHAnsi" w:cstheme="minorHAnsi"/>
          <w:szCs w:val="24"/>
          <w:lang w:val="en-US"/>
        </w:rPr>
        <w:t>carbon</w:t>
      </w:r>
      <w:r w:rsidR="002F4201"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 xml:space="preserve">energy to cover the (rising) demand for electricity </w:t>
      </w:r>
      <w:r w:rsidRPr="00312347">
        <w:rPr>
          <w:rFonts w:asciiTheme="minorHAnsi" w:hAnsiTheme="minorHAnsi" w:cstheme="minorHAnsi"/>
          <w:szCs w:val="24"/>
          <w:lang w:val="en-US"/>
        </w:rPr>
        <w:lastRenderedPageBreak/>
        <w:t xml:space="preserve">consumption alongside hydrogen production. This is only possible via an enormous expansion of </w:t>
      </w:r>
      <w:r w:rsidR="00E76A28">
        <w:rPr>
          <w:rFonts w:asciiTheme="minorHAnsi" w:hAnsiTheme="minorHAnsi" w:cstheme="minorHAnsi"/>
          <w:szCs w:val="24"/>
          <w:lang w:val="en-US"/>
        </w:rPr>
        <w:t xml:space="preserve">green and </w:t>
      </w:r>
      <w:r w:rsidR="002F4201">
        <w:rPr>
          <w:rFonts w:asciiTheme="minorHAnsi" w:hAnsiTheme="minorHAnsi" w:cstheme="minorHAnsi"/>
          <w:szCs w:val="24"/>
          <w:lang w:val="en-US"/>
        </w:rPr>
        <w:t xml:space="preserve">low carbon </w:t>
      </w:r>
      <w:r w:rsidRPr="00312347">
        <w:rPr>
          <w:rFonts w:asciiTheme="minorHAnsi" w:hAnsiTheme="minorHAnsi" w:cstheme="minorHAnsi"/>
          <w:szCs w:val="24"/>
          <w:lang w:val="en-US"/>
        </w:rPr>
        <w:t xml:space="preserve">generation capacity, which </w:t>
      </w:r>
      <w:r w:rsidR="002F4201">
        <w:rPr>
          <w:rFonts w:asciiTheme="minorHAnsi" w:hAnsiTheme="minorHAnsi" w:cstheme="minorHAnsi"/>
          <w:szCs w:val="24"/>
          <w:lang w:val="en-US"/>
        </w:rPr>
        <w:t>meanwhile may</w:t>
      </w:r>
      <w:r w:rsidR="002F4201"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 xml:space="preserve">not lead to huge cost hampering </w:t>
      </w:r>
      <w:r w:rsidR="002F4201">
        <w:rPr>
          <w:rFonts w:asciiTheme="minorHAnsi" w:hAnsiTheme="minorHAnsi" w:cstheme="minorHAnsi"/>
          <w:szCs w:val="24"/>
          <w:lang w:val="en-US"/>
        </w:rPr>
        <w:t xml:space="preserve">affordability and </w:t>
      </w:r>
      <w:r w:rsidRPr="00312347">
        <w:rPr>
          <w:rFonts w:asciiTheme="minorHAnsi" w:hAnsiTheme="minorHAnsi" w:cstheme="minorHAnsi"/>
          <w:szCs w:val="24"/>
          <w:lang w:val="en-US"/>
        </w:rPr>
        <w:t xml:space="preserve">global competitiveness of European industry. </w:t>
      </w:r>
    </w:p>
    <w:p w14:paraId="3B2039DE" w14:textId="77777777" w:rsidR="003815C1" w:rsidRPr="00312347" w:rsidRDefault="003815C1" w:rsidP="00D6540D">
      <w:pPr>
        <w:pStyle w:val="berschrift1"/>
        <w:numPr>
          <w:ilvl w:val="0"/>
          <w:numId w:val="40"/>
        </w:numPr>
        <w:ind w:left="432" w:hanging="432"/>
        <w:rPr>
          <w:rFonts w:asciiTheme="minorHAnsi" w:hAnsiTheme="minorHAnsi" w:cstheme="minorHAnsi"/>
          <w:lang w:val="en-GB"/>
        </w:rPr>
      </w:pPr>
      <w:r w:rsidRPr="00312347">
        <w:rPr>
          <w:rFonts w:asciiTheme="minorHAnsi" w:hAnsiTheme="minorHAnsi" w:cstheme="minorHAnsi"/>
          <w:lang w:val="en-GB"/>
        </w:rPr>
        <w:t>Innovation and support</w:t>
      </w:r>
    </w:p>
    <w:p w14:paraId="5E58D3C9" w14:textId="77777777" w:rsidR="003815C1" w:rsidRPr="00312347" w:rsidRDefault="003815C1" w:rsidP="003815C1">
      <w:pPr>
        <w:rPr>
          <w:rFonts w:asciiTheme="minorHAnsi" w:hAnsiTheme="minorHAnsi" w:cstheme="minorHAnsi"/>
          <w:szCs w:val="24"/>
          <w:lang w:val="en-US"/>
        </w:rPr>
      </w:pPr>
    </w:p>
    <w:p w14:paraId="10C1B391" w14:textId="062E65A0" w:rsidR="003815C1" w:rsidRPr="00312347" w:rsidRDefault="003815C1" w:rsidP="003815C1">
      <w:pPr>
        <w:rPr>
          <w:rFonts w:asciiTheme="minorHAnsi" w:hAnsiTheme="minorHAnsi" w:cstheme="minorHAnsi"/>
          <w:szCs w:val="24"/>
          <w:lang w:val="en-US"/>
        </w:rPr>
      </w:pPr>
      <w:r w:rsidRPr="00312347">
        <w:rPr>
          <w:rFonts w:asciiTheme="minorHAnsi" w:hAnsiTheme="minorHAnsi" w:cstheme="minorHAnsi"/>
          <w:szCs w:val="24"/>
          <w:lang w:val="en-US"/>
        </w:rPr>
        <w:t xml:space="preserve">The fundamental transformation of Europe’s economy towards a green and competitive economy requires fundamental changes and breakthrough technologies. The Green Deal identified clean hydrogen as a priority area where the EU needs climate and resource frontrunners to develop such technologies and commercial applications. An important precondition will be a rapid reduction in production cost of </w:t>
      </w:r>
      <w:r w:rsidR="00E76A28">
        <w:rPr>
          <w:rFonts w:asciiTheme="minorHAnsi" w:hAnsiTheme="minorHAnsi" w:cstheme="minorHAnsi"/>
          <w:szCs w:val="24"/>
          <w:lang w:val="en-US"/>
        </w:rPr>
        <w:t>green and low carbon</w:t>
      </w:r>
      <w:r w:rsidRPr="00312347">
        <w:rPr>
          <w:rFonts w:asciiTheme="minorHAnsi" w:hAnsiTheme="minorHAnsi" w:cstheme="minorHAnsi"/>
          <w:szCs w:val="24"/>
          <w:lang w:val="en-US"/>
        </w:rPr>
        <w:t xml:space="preserve"> hydrogen to compete with current sources of energy and feedstock production, e.g. the </w:t>
      </w:r>
      <w:r w:rsidR="002F4201">
        <w:rPr>
          <w:rFonts w:asciiTheme="minorHAnsi" w:hAnsiTheme="minorHAnsi" w:cstheme="minorHAnsi"/>
          <w:szCs w:val="24"/>
          <w:lang w:val="en-US"/>
        </w:rPr>
        <w:t>ability</w:t>
      </w:r>
      <w:r w:rsidR="002F4201"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of the chemical or fertilizer industry to absorb the hydrogen produced by electrolysis, depending on the price compared to hydrogen production via steam methane reformers (SMR) or autothermal reforming (ATR) in combination with CCS (‘blue hydrogen’).  </w:t>
      </w:r>
    </w:p>
    <w:p w14:paraId="72128A94" w14:textId="77777777" w:rsidR="003815C1" w:rsidRPr="00312347" w:rsidRDefault="003815C1" w:rsidP="003815C1">
      <w:pPr>
        <w:rPr>
          <w:rFonts w:asciiTheme="minorHAnsi" w:hAnsiTheme="minorHAnsi" w:cstheme="minorHAnsi"/>
          <w:szCs w:val="24"/>
          <w:lang w:val="en-US"/>
        </w:rPr>
      </w:pPr>
    </w:p>
    <w:p w14:paraId="4C5B45DA" w14:textId="77777777" w:rsidR="003815C1" w:rsidRPr="00312347" w:rsidRDefault="003815C1" w:rsidP="003815C1">
      <w:pPr>
        <w:rPr>
          <w:rFonts w:asciiTheme="minorHAnsi" w:hAnsiTheme="minorHAnsi" w:cstheme="minorHAnsi"/>
          <w:szCs w:val="24"/>
          <w:lang w:val="en-US"/>
        </w:rPr>
      </w:pPr>
      <w:r w:rsidRPr="00312347">
        <w:rPr>
          <w:rFonts w:asciiTheme="minorHAnsi" w:hAnsiTheme="minorHAnsi" w:cstheme="minorHAnsi"/>
          <w:szCs w:val="24"/>
          <w:lang w:val="en-US"/>
        </w:rPr>
        <w:t>Economic growth, a favorable investment climate and a level playing field are prerequisites for R&amp;D and investments in sustainable technologies and products. This also applies for technologies like hydrogen production including temporary storage of CO₂ (CCS) and developing re-use options for CO₂ in consumer products and fuels (CCU).</w:t>
      </w:r>
    </w:p>
    <w:p w14:paraId="6493A039" w14:textId="77777777" w:rsidR="003815C1" w:rsidRPr="00312347" w:rsidRDefault="003815C1" w:rsidP="003815C1">
      <w:pPr>
        <w:rPr>
          <w:rFonts w:asciiTheme="minorHAnsi" w:hAnsiTheme="minorHAnsi" w:cstheme="minorHAnsi"/>
          <w:szCs w:val="24"/>
          <w:lang w:val="en-US"/>
        </w:rPr>
      </w:pPr>
    </w:p>
    <w:p w14:paraId="0E76975B" w14:textId="3FDF8024" w:rsidR="003815C1" w:rsidRPr="00701C7B" w:rsidRDefault="003815C1" w:rsidP="003815C1">
      <w:pPr>
        <w:autoSpaceDE w:val="0"/>
        <w:autoSpaceDN w:val="0"/>
        <w:adjustRightInd w:val="0"/>
        <w:snapToGrid w:val="0"/>
        <w:spacing w:after="120"/>
        <w:rPr>
          <w:rFonts w:asciiTheme="minorHAnsi" w:hAnsiTheme="minorHAnsi" w:cstheme="minorHAnsi"/>
          <w:b/>
          <w:bCs/>
          <w:szCs w:val="24"/>
          <w:lang w:val="en-US"/>
        </w:rPr>
      </w:pPr>
      <w:r w:rsidRPr="00312347">
        <w:rPr>
          <w:rFonts w:asciiTheme="minorHAnsi" w:hAnsiTheme="minorHAnsi" w:cstheme="minorHAnsi"/>
          <w:szCs w:val="24"/>
          <w:lang w:val="en-US"/>
        </w:rPr>
        <w:t>The EU Strategy acknowledges</w:t>
      </w:r>
      <w:r w:rsidR="001A2745">
        <w:rPr>
          <w:rFonts w:asciiTheme="minorHAnsi" w:hAnsiTheme="minorHAnsi" w:cstheme="minorHAnsi"/>
          <w:szCs w:val="24"/>
          <w:lang w:val="en-US"/>
        </w:rPr>
        <w:t xml:space="preserve"> </w:t>
      </w:r>
      <w:r w:rsidRPr="00312347">
        <w:rPr>
          <w:rFonts w:asciiTheme="minorHAnsi" w:hAnsiTheme="minorHAnsi" w:cstheme="minorHAnsi"/>
          <w:szCs w:val="24"/>
          <w:lang w:val="en-US"/>
        </w:rPr>
        <w:t xml:space="preserve">the need for research and innovation across industry to enable the widespread deployment of hydrogen both as an energy carrier (fuel) and a molecule (feedstock). Priority sectors are identified as refineries, ammonia production and steel-making – as well as the condensed use of hydrogen in industrial sites clusters. However, the strategy is less clear on how hydrogen might be deployed across wider industrial sectors, for example in lime manufacturing, cement making, and glass production. </w:t>
      </w:r>
      <w:r w:rsidRPr="00701C7B">
        <w:rPr>
          <w:rFonts w:asciiTheme="minorHAnsi" w:hAnsiTheme="minorHAnsi" w:cstheme="minorHAnsi"/>
          <w:b/>
          <w:bCs/>
          <w:szCs w:val="24"/>
          <w:lang w:val="en-US"/>
        </w:rPr>
        <w:t xml:space="preserve">Transition to hydrogen as a fuel and a molecule in these sectors may not be straightforward and will require investment in research and development as well as investments in operational plants to ensure a safe and sound application of hydrogen. </w:t>
      </w:r>
    </w:p>
    <w:p w14:paraId="76994011" w14:textId="3CFD4D5E" w:rsidR="003815C1" w:rsidRPr="00312347" w:rsidRDefault="003815C1" w:rsidP="003815C1">
      <w:pPr>
        <w:pStyle w:val="Listenabsatz"/>
        <w:ind w:left="0"/>
        <w:rPr>
          <w:rFonts w:asciiTheme="minorHAnsi" w:hAnsiTheme="minorHAnsi" w:cstheme="minorHAnsi"/>
          <w:szCs w:val="24"/>
          <w:lang w:val="en-US"/>
        </w:rPr>
      </w:pPr>
      <w:r w:rsidRPr="00312347">
        <w:rPr>
          <w:rFonts w:asciiTheme="minorHAnsi" w:hAnsiTheme="minorHAnsi" w:cstheme="minorHAnsi"/>
          <w:szCs w:val="24"/>
          <w:lang w:val="en-US"/>
        </w:rPr>
        <w:t>Various incentives and support are needed to stimulate alternative ways of producing climate-friendly hydrogen</w:t>
      </w:r>
      <w:r w:rsidR="002F4201">
        <w:rPr>
          <w:rFonts w:asciiTheme="minorHAnsi" w:hAnsiTheme="minorHAnsi" w:cstheme="minorHAnsi"/>
          <w:szCs w:val="24"/>
          <w:lang w:val="en-US"/>
        </w:rPr>
        <w:t xml:space="preserve"> in order to make hydrogen competitive with current energy sources</w:t>
      </w:r>
      <w:r w:rsidRPr="00312347">
        <w:rPr>
          <w:rFonts w:asciiTheme="minorHAnsi" w:hAnsiTheme="minorHAnsi" w:cstheme="minorHAnsi"/>
          <w:szCs w:val="24"/>
          <w:lang w:val="en-US"/>
        </w:rPr>
        <w:t>. Financial support to breakthrough or immature technologies must not be limited to technology innovation support, but</w:t>
      </w:r>
      <w:r w:rsidR="001A2745">
        <w:rPr>
          <w:rFonts w:asciiTheme="minorHAnsi" w:hAnsiTheme="minorHAnsi" w:cstheme="minorHAnsi"/>
          <w:szCs w:val="24"/>
          <w:lang w:val="en-US"/>
        </w:rPr>
        <w:t xml:space="preserve"> </w:t>
      </w:r>
      <w:r w:rsidRPr="00312347">
        <w:rPr>
          <w:rFonts w:asciiTheme="minorHAnsi" w:hAnsiTheme="minorHAnsi" w:cstheme="minorHAnsi"/>
          <w:szCs w:val="24"/>
          <w:lang w:val="en-US"/>
        </w:rPr>
        <w:t xml:space="preserve">also cover scale ups and the market entry of new products and applications to cover the investment cycles of the industry and to bridge the so-called ‘valley of death’. State Aid Guidelines </w:t>
      </w:r>
      <w:proofErr w:type="gramStart"/>
      <w:r w:rsidRPr="00312347">
        <w:rPr>
          <w:rFonts w:asciiTheme="minorHAnsi" w:hAnsiTheme="minorHAnsi" w:cstheme="minorHAnsi"/>
          <w:szCs w:val="24"/>
          <w:lang w:val="en-US"/>
        </w:rPr>
        <w:t>have to</w:t>
      </w:r>
      <w:proofErr w:type="gramEnd"/>
      <w:r w:rsidRPr="00312347">
        <w:rPr>
          <w:rFonts w:asciiTheme="minorHAnsi" w:hAnsiTheme="minorHAnsi" w:cstheme="minorHAnsi"/>
          <w:szCs w:val="24"/>
          <w:lang w:val="en-US"/>
        </w:rPr>
        <w:t xml:space="preserve"> take into account EU’s global competitiveness rather than being limited to safeguarding a level playing field within the EU. </w:t>
      </w:r>
    </w:p>
    <w:p w14:paraId="703BCD59" w14:textId="77777777" w:rsidR="003815C1" w:rsidRPr="00312347" w:rsidRDefault="003815C1" w:rsidP="003815C1">
      <w:pPr>
        <w:pStyle w:val="Listenabsatz"/>
        <w:ind w:left="0"/>
        <w:rPr>
          <w:rFonts w:asciiTheme="minorHAnsi" w:hAnsiTheme="minorHAnsi" w:cstheme="minorHAnsi"/>
          <w:lang w:val="en-US"/>
        </w:rPr>
      </w:pPr>
    </w:p>
    <w:p w14:paraId="4141D53B" w14:textId="77FD018D" w:rsidR="003815C1" w:rsidRPr="00312347" w:rsidRDefault="003815C1" w:rsidP="003815C1">
      <w:pPr>
        <w:rPr>
          <w:rFonts w:asciiTheme="minorHAnsi" w:hAnsiTheme="minorHAnsi" w:cstheme="minorHAnsi"/>
          <w:szCs w:val="24"/>
          <w:lang w:val="en-US"/>
        </w:rPr>
      </w:pPr>
      <w:r w:rsidRPr="00312347">
        <w:rPr>
          <w:rFonts w:asciiTheme="minorHAnsi" w:hAnsiTheme="minorHAnsi" w:cstheme="minorHAnsi"/>
          <w:szCs w:val="24"/>
          <w:lang w:val="en-US"/>
        </w:rPr>
        <w:t xml:space="preserve">IFIEC believes </w:t>
      </w:r>
      <w:r w:rsidR="002F4201">
        <w:rPr>
          <w:rFonts w:asciiTheme="minorHAnsi" w:hAnsiTheme="minorHAnsi" w:cstheme="minorHAnsi"/>
          <w:szCs w:val="24"/>
          <w:lang w:val="en-US"/>
        </w:rPr>
        <w:t xml:space="preserve">production of hydrogen should be stimulated to become </w:t>
      </w:r>
      <w:r w:rsidR="00E76A28">
        <w:rPr>
          <w:rFonts w:asciiTheme="minorHAnsi" w:hAnsiTheme="minorHAnsi" w:cstheme="minorHAnsi"/>
          <w:szCs w:val="24"/>
          <w:lang w:val="en-US"/>
        </w:rPr>
        <w:t xml:space="preserve">green and </w:t>
      </w:r>
      <w:r w:rsidR="002F4201">
        <w:rPr>
          <w:rFonts w:asciiTheme="minorHAnsi" w:hAnsiTheme="minorHAnsi" w:cstheme="minorHAnsi"/>
          <w:szCs w:val="24"/>
          <w:lang w:val="en-US"/>
        </w:rPr>
        <w:t xml:space="preserve">low carbon and the use of hydrogen should not be hampered by </w:t>
      </w:r>
      <w:r w:rsidRPr="00312347">
        <w:rPr>
          <w:rFonts w:asciiTheme="minorHAnsi" w:hAnsiTheme="minorHAnsi" w:cstheme="minorHAnsi"/>
          <w:szCs w:val="24"/>
          <w:lang w:val="en-US"/>
        </w:rPr>
        <w:t>the simplifying segmentation of hydrogen production technologies to different colors, e.g. blue, grey, green, yellow and purple.</w:t>
      </w:r>
    </w:p>
    <w:p w14:paraId="159E02B1" w14:textId="77777777" w:rsidR="003815C1" w:rsidRPr="00312347" w:rsidRDefault="003815C1" w:rsidP="003815C1">
      <w:pPr>
        <w:rPr>
          <w:rFonts w:asciiTheme="minorHAnsi" w:hAnsiTheme="minorHAnsi" w:cstheme="minorHAnsi"/>
          <w:szCs w:val="24"/>
          <w:lang w:val="en-US"/>
        </w:rPr>
      </w:pPr>
    </w:p>
    <w:p w14:paraId="69D9F400" w14:textId="4CC17174" w:rsidR="003815C1" w:rsidRPr="00701C7B" w:rsidRDefault="003815C1" w:rsidP="003815C1">
      <w:pPr>
        <w:rPr>
          <w:rFonts w:asciiTheme="minorHAnsi" w:hAnsiTheme="minorHAnsi" w:cstheme="minorHAnsi"/>
          <w:b/>
          <w:bCs/>
          <w:szCs w:val="24"/>
          <w:lang w:val="en-US"/>
        </w:rPr>
      </w:pPr>
      <w:r w:rsidRPr="00312347">
        <w:rPr>
          <w:rFonts w:asciiTheme="minorHAnsi" w:hAnsiTheme="minorHAnsi" w:cstheme="minorHAnsi"/>
          <w:szCs w:val="24"/>
          <w:lang w:val="en-US"/>
        </w:rPr>
        <w:t xml:space="preserve">Against this backdrop, IFIEC supports the EU-intent to produce hydrogen through a variety of processes, including production based on fossil feedstocks with carbon capture technologies (CCUS). In our view, </w:t>
      </w:r>
      <w:r w:rsidRPr="00701C7B">
        <w:rPr>
          <w:rFonts w:asciiTheme="minorHAnsi" w:hAnsiTheme="minorHAnsi" w:cstheme="minorHAnsi"/>
          <w:b/>
          <w:bCs/>
          <w:szCs w:val="24"/>
          <w:lang w:val="en-US"/>
        </w:rPr>
        <w:t xml:space="preserve">the definitions of “Electricity-based hydrogen” and “Renewable hydrogen” should be </w:t>
      </w:r>
      <w:r w:rsidRPr="00701C7B">
        <w:rPr>
          <w:rFonts w:asciiTheme="minorHAnsi" w:hAnsiTheme="minorHAnsi" w:cstheme="minorHAnsi"/>
          <w:b/>
          <w:bCs/>
          <w:szCs w:val="24"/>
          <w:lang w:val="en-US"/>
        </w:rPr>
        <w:lastRenderedPageBreak/>
        <w:t xml:space="preserve">extended to include other electrolytic routes, e.g. the established Chlorine-alkali process, gasifiers using biobased sources, plasma technology, </w:t>
      </w:r>
      <w:proofErr w:type="spellStart"/>
      <w:r w:rsidRPr="00701C7B">
        <w:rPr>
          <w:rFonts w:asciiTheme="minorHAnsi" w:hAnsiTheme="minorHAnsi" w:cstheme="minorHAnsi"/>
          <w:b/>
          <w:bCs/>
          <w:szCs w:val="24"/>
          <w:lang w:val="en-US"/>
        </w:rPr>
        <w:t>torrification</w:t>
      </w:r>
      <w:proofErr w:type="spellEnd"/>
      <w:r w:rsidRPr="00701C7B">
        <w:rPr>
          <w:rFonts w:asciiTheme="minorHAnsi" w:hAnsiTheme="minorHAnsi" w:cstheme="minorHAnsi"/>
          <w:b/>
          <w:bCs/>
          <w:szCs w:val="24"/>
          <w:lang w:val="en-US"/>
        </w:rPr>
        <w:t xml:space="preserve"> of biomass, etc. And since in the end, only the GHG footprint of hydrogen matters, also hydrogen based on electricity from nuclear plants is a viable option.</w:t>
      </w:r>
    </w:p>
    <w:p w14:paraId="69728A93" w14:textId="750B6A02" w:rsidR="003815C1" w:rsidRPr="00312347" w:rsidRDefault="003815C1" w:rsidP="003815C1">
      <w:pPr>
        <w:autoSpaceDE w:val="0"/>
        <w:autoSpaceDN w:val="0"/>
        <w:adjustRightInd w:val="0"/>
        <w:snapToGrid w:val="0"/>
        <w:spacing w:after="120"/>
        <w:rPr>
          <w:rFonts w:asciiTheme="minorHAnsi" w:hAnsiTheme="minorHAnsi" w:cstheme="minorHAnsi"/>
          <w:color w:val="000000" w:themeColor="text1"/>
          <w:szCs w:val="24"/>
          <w:lang w:val="en-US"/>
        </w:rPr>
      </w:pPr>
    </w:p>
    <w:p w14:paraId="6A3B1CCA" w14:textId="7CA54086" w:rsidR="003815C1" w:rsidRPr="00312347" w:rsidRDefault="002C79D5" w:rsidP="003815C1">
      <w:pPr>
        <w:autoSpaceDE w:val="0"/>
        <w:autoSpaceDN w:val="0"/>
        <w:adjustRightInd w:val="0"/>
        <w:snapToGrid w:val="0"/>
        <w:spacing w:after="120"/>
        <w:rPr>
          <w:rFonts w:asciiTheme="minorHAnsi" w:eastAsia="Times" w:hAnsiTheme="minorHAnsi" w:cstheme="minorHAnsi"/>
          <w:szCs w:val="24"/>
          <w:lang w:val="en-US"/>
        </w:rPr>
      </w:pPr>
      <w:r w:rsidRPr="00312347">
        <w:rPr>
          <w:rFonts w:asciiTheme="minorHAnsi" w:hAnsiTheme="minorHAnsi" w:cstheme="minorHAnsi"/>
          <w:iCs/>
          <w:lang w:val="en-US"/>
        </w:rPr>
        <w:t>Development of innovative electrolysis</w:t>
      </w:r>
      <w:r w:rsidR="003815C1" w:rsidRPr="00312347">
        <w:rPr>
          <w:rFonts w:asciiTheme="minorHAnsi" w:hAnsiTheme="minorHAnsi" w:cstheme="minorHAnsi"/>
          <w:iCs/>
          <w:lang w:val="en-US"/>
        </w:rPr>
        <w:t xml:space="preserve"> create production volume and reduce production costs.</w:t>
      </w:r>
      <w:r w:rsidR="003815C1" w:rsidRPr="00312347">
        <w:rPr>
          <w:rFonts w:asciiTheme="minorHAnsi" w:hAnsiTheme="minorHAnsi" w:cstheme="minorHAnsi"/>
          <w:iCs/>
          <w:szCs w:val="24"/>
          <w:lang w:val="en-US"/>
        </w:rPr>
        <w:t xml:space="preserve"> </w:t>
      </w:r>
      <w:proofErr w:type="gramStart"/>
      <w:r w:rsidR="003815C1" w:rsidRPr="00312347">
        <w:rPr>
          <w:rFonts w:asciiTheme="minorHAnsi" w:hAnsiTheme="minorHAnsi" w:cstheme="minorHAnsi"/>
          <w:szCs w:val="24"/>
          <w:lang w:val="en-US"/>
        </w:rPr>
        <w:t>As long as</w:t>
      </w:r>
      <w:proofErr w:type="gramEnd"/>
      <w:r w:rsidR="003815C1" w:rsidRPr="00312347">
        <w:rPr>
          <w:rFonts w:asciiTheme="minorHAnsi" w:hAnsiTheme="minorHAnsi" w:cstheme="minorHAnsi"/>
          <w:szCs w:val="24"/>
          <w:lang w:val="en-US"/>
        </w:rPr>
        <w:t xml:space="preserve"> </w:t>
      </w:r>
      <w:r w:rsidR="00E76A28">
        <w:rPr>
          <w:rFonts w:asciiTheme="minorHAnsi" w:hAnsiTheme="minorHAnsi" w:cstheme="minorHAnsi"/>
          <w:szCs w:val="24"/>
          <w:lang w:val="en-US"/>
        </w:rPr>
        <w:t>green and low carbon</w:t>
      </w:r>
      <w:r w:rsidR="00E529AD" w:rsidRPr="00312347">
        <w:rPr>
          <w:rFonts w:asciiTheme="minorHAnsi" w:hAnsiTheme="minorHAnsi" w:cstheme="minorHAnsi"/>
          <w:szCs w:val="24"/>
          <w:lang w:val="en-US"/>
        </w:rPr>
        <w:t xml:space="preserve"> </w:t>
      </w:r>
      <w:r w:rsidR="003815C1" w:rsidRPr="00312347">
        <w:rPr>
          <w:rFonts w:asciiTheme="minorHAnsi" w:hAnsiTheme="minorHAnsi" w:cstheme="minorHAnsi"/>
          <w:szCs w:val="24"/>
          <w:lang w:val="en-US"/>
        </w:rPr>
        <w:t>hydrogen is not yet cost-competitive, financial support is needed to scale up production technologies. There are different instruments that can be used in this regard:</w:t>
      </w:r>
    </w:p>
    <w:p w14:paraId="78CC6718" w14:textId="16ADA113" w:rsidR="003815C1" w:rsidRPr="00312347" w:rsidRDefault="003815C1" w:rsidP="003815C1">
      <w:pPr>
        <w:pStyle w:val="Listenabsatz"/>
        <w:numPr>
          <w:ilvl w:val="0"/>
          <w:numId w:val="39"/>
        </w:numPr>
        <w:ind w:left="284" w:hanging="284"/>
        <w:contextualSpacing w:val="0"/>
        <w:rPr>
          <w:rFonts w:asciiTheme="minorHAnsi" w:hAnsiTheme="minorHAnsi" w:cstheme="minorHAnsi"/>
          <w:szCs w:val="24"/>
          <w:lang w:val="en-US"/>
        </w:rPr>
      </w:pPr>
      <w:r w:rsidRPr="00312347">
        <w:rPr>
          <w:rFonts w:asciiTheme="minorHAnsi" w:hAnsiTheme="minorHAnsi" w:cstheme="minorHAnsi"/>
          <w:szCs w:val="24"/>
          <w:lang w:val="en-US"/>
        </w:rPr>
        <w:t xml:space="preserve">IFIEC </w:t>
      </w:r>
      <w:r w:rsidR="00120AE8">
        <w:rPr>
          <w:rFonts w:asciiTheme="minorHAnsi" w:hAnsiTheme="minorHAnsi" w:cstheme="minorHAnsi"/>
          <w:szCs w:val="24"/>
          <w:lang w:val="en-US"/>
        </w:rPr>
        <w:t xml:space="preserve">recommends </w:t>
      </w:r>
      <w:r w:rsidR="002C79D5">
        <w:rPr>
          <w:rFonts w:asciiTheme="minorHAnsi" w:hAnsiTheme="minorHAnsi" w:cstheme="minorHAnsi"/>
          <w:szCs w:val="24"/>
          <w:lang w:val="en-US"/>
        </w:rPr>
        <w:t>investigating</w:t>
      </w:r>
      <w:r w:rsidR="00120AE8"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the policy instrument “Carbon Contracts for Difference” as an instrument that can incentivize investments in new technologies in Europe to bridge the cost gap compared to conventional hydrogen production</w:t>
      </w:r>
      <w:r w:rsidR="00047465">
        <w:rPr>
          <w:rFonts w:asciiTheme="minorHAnsi" w:hAnsiTheme="minorHAnsi" w:cstheme="minorHAnsi"/>
          <w:szCs w:val="24"/>
          <w:lang w:val="en-US"/>
        </w:rPr>
        <w:t>.</w:t>
      </w:r>
    </w:p>
    <w:p w14:paraId="31CAFEC9" w14:textId="77777777" w:rsidR="00120AE8" w:rsidRDefault="003815C1" w:rsidP="003815C1">
      <w:pPr>
        <w:pStyle w:val="Listenabsatz"/>
        <w:numPr>
          <w:ilvl w:val="0"/>
          <w:numId w:val="39"/>
        </w:numPr>
        <w:ind w:left="284" w:hanging="284"/>
        <w:contextualSpacing w:val="0"/>
        <w:rPr>
          <w:rFonts w:asciiTheme="minorHAnsi" w:hAnsiTheme="minorHAnsi" w:cstheme="minorHAnsi"/>
          <w:szCs w:val="24"/>
          <w:lang w:val="en-US"/>
        </w:rPr>
      </w:pPr>
      <w:r w:rsidRPr="00312347">
        <w:rPr>
          <w:rFonts w:asciiTheme="minorHAnsi" w:hAnsiTheme="minorHAnsi" w:cstheme="minorHAnsi"/>
          <w:szCs w:val="24"/>
          <w:lang w:val="en-US"/>
        </w:rPr>
        <w:t xml:space="preserve">This policy instrument should be technology-neutral and hence, </w:t>
      </w:r>
      <w:r w:rsidRPr="00701C7B">
        <w:rPr>
          <w:rFonts w:asciiTheme="minorHAnsi" w:hAnsiTheme="minorHAnsi" w:cstheme="minorHAnsi"/>
          <w:b/>
          <w:bCs/>
          <w:szCs w:val="24"/>
          <w:lang w:val="en-US"/>
        </w:rPr>
        <w:t>not limited to renewable hydrogen production technologies</w:t>
      </w:r>
      <w:r w:rsidRPr="00312347">
        <w:rPr>
          <w:rFonts w:asciiTheme="minorHAnsi" w:hAnsiTheme="minorHAnsi" w:cstheme="minorHAnsi"/>
          <w:szCs w:val="24"/>
          <w:lang w:val="en-US"/>
        </w:rPr>
        <w:t xml:space="preserve"> but all hydrogen production technologies with low well-to-gate greenhouse gas emissions. Also, it should be open for all industrial sectors/applications/processes to ensure decarbonization at an efficient cost level. </w:t>
      </w:r>
    </w:p>
    <w:p w14:paraId="549BEB45" w14:textId="5D6BAC61" w:rsidR="003815C1" w:rsidRPr="00312347" w:rsidRDefault="00746566" w:rsidP="003815C1">
      <w:pPr>
        <w:pStyle w:val="Listenabsatz"/>
        <w:numPr>
          <w:ilvl w:val="0"/>
          <w:numId w:val="39"/>
        </w:numPr>
        <w:ind w:left="284" w:hanging="284"/>
        <w:contextualSpacing w:val="0"/>
        <w:rPr>
          <w:rFonts w:asciiTheme="minorHAnsi" w:hAnsiTheme="minorHAnsi" w:cstheme="minorHAnsi"/>
          <w:szCs w:val="24"/>
          <w:lang w:val="en-US"/>
        </w:rPr>
      </w:pPr>
      <w:r w:rsidRPr="00AD2646">
        <w:rPr>
          <w:rFonts w:asciiTheme="minorHAnsi" w:hAnsiTheme="minorHAnsi" w:cstheme="minorHAnsi"/>
          <w:szCs w:val="24"/>
          <w:lang w:val="en-US"/>
        </w:rPr>
        <w:t>To accelerate the uptake of hydrogen (or energy carriers based on H2), it is important that no extra restrictions for users are imposed on the origin of hydrogen (</w:t>
      </w:r>
      <w:proofErr w:type="gramStart"/>
      <w:r w:rsidRPr="00AD2646">
        <w:rPr>
          <w:rFonts w:asciiTheme="minorHAnsi" w:hAnsiTheme="minorHAnsi" w:cstheme="minorHAnsi"/>
          <w:szCs w:val="24"/>
          <w:lang w:val="en-US"/>
        </w:rPr>
        <w:t>similar to</w:t>
      </w:r>
      <w:proofErr w:type="gramEnd"/>
      <w:r w:rsidRPr="00AD2646">
        <w:rPr>
          <w:rFonts w:asciiTheme="minorHAnsi" w:hAnsiTheme="minorHAnsi" w:cstheme="minorHAnsi"/>
          <w:szCs w:val="24"/>
          <w:lang w:val="en-US"/>
        </w:rPr>
        <w:t xml:space="preserve"> electrification). This would lead to even more expensive hydrogen prices and would hamper further developments of hydrogen use.</w:t>
      </w:r>
      <w:r>
        <w:rPr>
          <w:rFonts w:asciiTheme="minorHAnsi" w:hAnsiTheme="minorHAnsi" w:cstheme="minorHAnsi"/>
          <w:szCs w:val="24"/>
          <w:lang w:val="en-US"/>
        </w:rPr>
        <w:t xml:space="preserve"> </w:t>
      </w:r>
      <w:r w:rsidR="003815C1" w:rsidRPr="00701C7B">
        <w:rPr>
          <w:rFonts w:asciiTheme="minorHAnsi" w:hAnsiTheme="minorHAnsi" w:cstheme="minorHAnsi"/>
          <w:b/>
          <w:bCs/>
          <w:szCs w:val="24"/>
          <w:lang w:val="en-US"/>
        </w:rPr>
        <w:t>The financial support to deploy hydrogen in industry should also be technology neutral</w:t>
      </w:r>
      <w:r w:rsidR="00F50342">
        <w:rPr>
          <w:rFonts w:asciiTheme="minorHAnsi" w:hAnsiTheme="minorHAnsi" w:cstheme="minorHAnsi"/>
          <w:b/>
          <w:bCs/>
          <w:szCs w:val="24"/>
          <w:lang w:val="en-US"/>
        </w:rPr>
        <w:t xml:space="preserve"> and should not depend on the origin of hydrogen</w:t>
      </w:r>
      <w:r w:rsidR="003815C1" w:rsidRPr="00701C7B">
        <w:rPr>
          <w:rFonts w:asciiTheme="minorHAnsi" w:hAnsiTheme="minorHAnsi" w:cstheme="minorHAnsi"/>
          <w:b/>
          <w:bCs/>
          <w:szCs w:val="24"/>
          <w:lang w:val="en-US"/>
        </w:rPr>
        <w:t xml:space="preserve">. </w:t>
      </w:r>
      <w:r w:rsidR="00A7637B">
        <w:rPr>
          <w:rFonts w:asciiTheme="minorHAnsi" w:hAnsiTheme="minorHAnsi" w:cstheme="minorHAnsi"/>
          <w:b/>
          <w:bCs/>
          <w:szCs w:val="24"/>
          <w:lang w:val="en-US"/>
        </w:rPr>
        <w:t xml:space="preserve"> </w:t>
      </w:r>
      <w:r w:rsidR="003815C1" w:rsidRPr="00312347">
        <w:rPr>
          <w:rFonts w:asciiTheme="minorHAnsi" w:hAnsiTheme="minorHAnsi" w:cstheme="minorHAnsi"/>
          <w:szCs w:val="24"/>
          <w:lang w:val="en-US"/>
        </w:rPr>
        <w:t xml:space="preserve">Although it is recognized that some sectors (such a </w:t>
      </w:r>
      <w:r w:rsidR="00583B02" w:rsidRPr="00312347">
        <w:rPr>
          <w:rFonts w:asciiTheme="minorHAnsi" w:hAnsiTheme="minorHAnsi" w:cstheme="minorHAnsi"/>
          <w:szCs w:val="24"/>
          <w:lang w:val="en-US"/>
        </w:rPr>
        <w:t>steelmaking</w:t>
      </w:r>
      <w:r w:rsidR="003815C1" w:rsidRPr="00312347">
        <w:rPr>
          <w:rFonts w:asciiTheme="minorHAnsi" w:hAnsiTheme="minorHAnsi" w:cstheme="minorHAnsi"/>
          <w:szCs w:val="24"/>
          <w:lang w:val="en-US"/>
        </w:rPr>
        <w:t xml:space="preserve"> and fertilizers) will be better placed to accelerate the deployment of hydrogen, they are not the only sectors and the investment incentives should not deter early deployment in other sectors</w:t>
      </w:r>
      <w:r w:rsidR="00047465">
        <w:rPr>
          <w:rFonts w:asciiTheme="minorHAnsi" w:hAnsiTheme="minorHAnsi" w:cstheme="minorHAnsi"/>
          <w:szCs w:val="24"/>
          <w:lang w:val="en-US"/>
        </w:rPr>
        <w:t>.</w:t>
      </w:r>
    </w:p>
    <w:p w14:paraId="7C9D911A" w14:textId="34A4811D" w:rsidR="003815C1" w:rsidRPr="00312347" w:rsidRDefault="003815C1" w:rsidP="003815C1">
      <w:pPr>
        <w:pStyle w:val="Listenabsatz"/>
        <w:numPr>
          <w:ilvl w:val="0"/>
          <w:numId w:val="39"/>
        </w:numPr>
        <w:ind w:left="284" w:hanging="284"/>
        <w:contextualSpacing w:val="0"/>
        <w:rPr>
          <w:rFonts w:asciiTheme="minorHAnsi" w:hAnsiTheme="minorHAnsi" w:cstheme="minorHAnsi"/>
          <w:szCs w:val="24"/>
          <w:lang w:val="en-US"/>
        </w:rPr>
      </w:pPr>
      <w:r w:rsidRPr="00312347">
        <w:rPr>
          <w:rFonts w:asciiTheme="minorHAnsi" w:hAnsiTheme="minorHAnsi" w:cstheme="minorHAnsi"/>
          <w:szCs w:val="24"/>
          <w:lang w:val="en-US"/>
        </w:rPr>
        <w:t xml:space="preserve">Financial </w:t>
      </w:r>
      <w:r w:rsidRPr="00312347">
        <w:rPr>
          <w:rFonts w:asciiTheme="minorHAnsi" w:hAnsiTheme="minorHAnsi" w:cstheme="minorHAnsi"/>
          <w:lang w:val="en-US"/>
        </w:rPr>
        <w:t>support should not be limited to certain technologies, neither on supply nor demand side</w:t>
      </w:r>
      <w:r w:rsidR="00047465">
        <w:rPr>
          <w:rFonts w:asciiTheme="minorHAnsi" w:hAnsiTheme="minorHAnsi" w:cstheme="minorHAnsi"/>
          <w:lang w:val="en-US"/>
        </w:rPr>
        <w:t>.</w:t>
      </w:r>
    </w:p>
    <w:p w14:paraId="39776CCA" w14:textId="34AB9C74" w:rsidR="003815C1" w:rsidRPr="00310F5C" w:rsidRDefault="003815C1" w:rsidP="003815C1">
      <w:pPr>
        <w:pStyle w:val="Listenabsatz"/>
        <w:numPr>
          <w:ilvl w:val="0"/>
          <w:numId w:val="39"/>
        </w:numPr>
        <w:ind w:left="284" w:hanging="284"/>
        <w:contextualSpacing w:val="0"/>
        <w:rPr>
          <w:rFonts w:asciiTheme="minorHAnsi" w:hAnsiTheme="minorHAnsi" w:cstheme="minorHAnsi"/>
          <w:szCs w:val="24"/>
          <w:lang w:val="en-US"/>
        </w:rPr>
      </w:pPr>
      <w:r w:rsidRPr="00312347">
        <w:rPr>
          <w:rFonts w:asciiTheme="minorHAnsi" w:hAnsiTheme="minorHAnsi" w:cstheme="minorHAnsi"/>
          <w:szCs w:val="24"/>
          <w:lang w:val="en-US"/>
        </w:rPr>
        <w:t xml:space="preserve">In addition, to reduce operating costs of electrolysis or other appliances and technologies producing green </w:t>
      </w:r>
      <w:r w:rsidR="00142D39">
        <w:rPr>
          <w:rFonts w:asciiTheme="minorHAnsi" w:hAnsiTheme="minorHAnsi" w:cstheme="minorHAnsi"/>
          <w:szCs w:val="24"/>
          <w:lang w:val="en-US"/>
        </w:rPr>
        <w:t xml:space="preserve">and low carbon </w:t>
      </w:r>
      <w:r w:rsidRPr="00312347">
        <w:rPr>
          <w:rFonts w:asciiTheme="minorHAnsi" w:hAnsiTheme="minorHAnsi" w:cstheme="minorHAnsi"/>
          <w:szCs w:val="24"/>
          <w:lang w:val="en-US"/>
        </w:rPr>
        <w:t>hydrogen should be exempt from surcharges on electricity used to produce hydrogen;</w:t>
      </w:r>
      <w:r w:rsidR="00583B02">
        <w:rPr>
          <w:rFonts w:asciiTheme="minorHAnsi" w:hAnsiTheme="minorHAnsi" w:cstheme="minorHAnsi"/>
          <w:szCs w:val="24"/>
          <w:lang w:val="en-US"/>
        </w:rPr>
        <w:t xml:space="preserve"> f</w:t>
      </w:r>
      <w:r w:rsidRPr="00312347">
        <w:rPr>
          <w:rFonts w:asciiTheme="minorHAnsi" w:hAnsiTheme="minorHAnsi" w:cstheme="minorHAnsi"/>
          <w:szCs w:val="24"/>
          <w:lang w:val="en-US"/>
        </w:rPr>
        <w:t>inally, support measures should be financed from the state budget, to avoid new surcharges (which in turn would require additional exemptions rules).</w:t>
      </w:r>
    </w:p>
    <w:p w14:paraId="35955DB2" w14:textId="77777777" w:rsidR="003815C1" w:rsidRPr="00312347" w:rsidRDefault="003815C1" w:rsidP="00746504">
      <w:pPr>
        <w:pStyle w:val="berschrift1"/>
        <w:numPr>
          <w:ilvl w:val="0"/>
          <w:numId w:val="40"/>
        </w:numPr>
        <w:ind w:left="432" w:hanging="432"/>
        <w:rPr>
          <w:rFonts w:asciiTheme="minorHAnsi" w:hAnsiTheme="minorHAnsi" w:cstheme="minorHAnsi"/>
          <w:lang w:val="en-GB"/>
        </w:rPr>
      </w:pPr>
      <w:r w:rsidRPr="00312347">
        <w:rPr>
          <w:rFonts w:asciiTheme="minorHAnsi" w:hAnsiTheme="minorHAnsi" w:cstheme="minorHAnsi"/>
          <w:lang w:val="en-GB"/>
        </w:rPr>
        <w:t>Transparent and liquid hydrogen markets</w:t>
      </w:r>
    </w:p>
    <w:p w14:paraId="3E38471D" w14:textId="77777777" w:rsidR="003815C1" w:rsidRPr="00312347" w:rsidRDefault="003815C1" w:rsidP="003815C1">
      <w:pPr>
        <w:pStyle w:val="Listenabsatz"/>
        <w:ind w:left="360"/>
        <w:rPr>
          <w:rFonts w:asciiTheme="minorHAnsi" w:hAnsiTheme="minorHAnsi" w:cstheme="minorHAnsi"/>
          <w:szCs w:val="24"/>
          <w:lang w:val="en-US"/>
        </w:rPr>
      </w:pPr>
    </w:p>
    <w:p w14:paraId="100CE806" w14:textId="77777777" w:rsidR="003815C1" w:rsidRPr="00583B02" w:rsidRDefault="003815C1" w:rsidP="003815C1">
      <w:pPr>
        <w:pStyle w:val="Listenabsatz"/>
        <w:numPr>
          <w:ilvl w:val="1"/>
          <w:numId w:val="40"/>
        </w:numPr>
        <w:rPr>
          <w:rFonts w:asciiTheme="minorHAnsi" w:eastAsia="Times New Roman" w:hAnsiTheme="minorHAnsi" w:cstheme="minorHAnsi"/>
          <w:b/>
          <w:bCs/>
          <w:color w:val="3871C1"/>
          <w:sz w:val="28"/>
          <w:szCs w:val="28"/>
          <w:lang w:val="en-GB"/>
        </w:rPr>
      </w:pPr>
      <w:r w:rsidRPr="00583B02">
        <w:rPr>
          <w:rFonts w:asciiTheme="minorHAnsi" w:eastAsia="Times New Roman" w:hAnsiTheme="minorHAnsi" w:cstheme="minorHAnsi"/>
          <w:b/>
          <w:bCs/>
          <w:color w:val="3871C1"/>
          <w:sz w:val="28"/>
          <w:szCs w:val="28"/>
          <w:lang w:val="en-GB"/>
        </w:rPr>
        <w:t>Transport and infrastructure</w:t>
      </w:r>
    </w:p>
    <w:p w14:paraId="5A2DE267" w14:textId="01557EAA" w:rsidR="003815C1" w:rsidRPr="00312347" w:rsidRDefault="003815C1" w:rsidP="003815C1">
      <w:pPr>
        <w:pStyle w:val="Listenabsatz"/>
        <w:ind w:left="0"/>
        <w:rPr>
          <w:rFonts w:asciiTheme="minorHAnsi" w:hAnsiTheme="minorHAnsi" w:cstheme="minorHAnsi"/>
          <w:lang w:val="en-US"/>
        </w:rPr>
      </w:pPr>
      <w:r w:rsidRPr="00312347">
        <w:rPr>
          <w:rFonts w:asciiTheme="minorHAnsi" w:hAnsiTheme="minorHAnsi" w:cstheme="minorHAnsi"/>
          <w:lang w:val="en-US"/>
        </w:rPr>
        <w:t xml:space="preserve">In transport of energy, there is evidence that the costs of transportation of electricity are factors greater than the costs of transportation of molecules (natural gas, hydrogen). However, for an energy end user, transportation costs represent </w:t>
      </w:r>
      <w:proofErr w:type="gramStart"/>
      <w:r w:rsidR="00837409">
        <w:rPr>
          <w:rFonts w:asciiTheme="minorHAnsi" w:hAnsiTheme="minorHAnsi" w:cstheme="minorHAnsi"/>
          <w:lang w:val="en-US"/>
        </w:rPr>
        <w:t xml:space="preserve">at the </w:t>
      </w:r>
      <w:r w:rsidR="00583B02">
        <w:rPr>
          <w:rFonts w:asciiTheme="minorHAnsi" w:hAnsiTheme="minorHAnsi" w:cstheme="minorHAnsi"/>
          <w:lang w:val="en-US"/>
        </w:rPr>
        <w:t>moment</w:t>
      </w:r>
      <w:proofErr w:type="gramEnd"/>
      <w:r w:rsidR="00583B02" w:rsidRPr="00312347">
        <w:rPr>
          <w:rFonts w:asciiTheme="minorHAnsi" w:hAnsiTheme="minorHAnsi" w:cstheme="minorHAnsi"/>
          <w:lang w:val="en-US"/>
        </w:rPr>
        <w:t xml:space="preserve"> a</w:t>
      </w:r>
      <w:r w:rsidRPr="00312347">
        <w:rPr>
          <w:rFonts w:asciiTheme="minorHAnsi" w:hAnsiTheme="minorHAnsi" w:cstheme="minorHAnsi"/>
          <w:lang w:val="en-US"/>
        </w:rPr>
        <w:t xml:space="preserve"> relatively small part of the overall production costs for their products they produce or assemble. This means that industrial end users </w:t>
      </w:r>
      <w:r w:rsidRPr="00312347">
        <w:rPr>
          <w:rFonts w:asciiTheme="minorHAnsi" w:hAnsiTheme="minorHAnsi" w:cstheme="minorHAnsi"/>
          <w:szCs w:val="24"/>
          <w:lang w:val="en-US"/>
        </w:rPr>
        <w:t xml:space="preserve">should have options to choose whether to receive electrons – and hence locally produce hydrogen - or molecules at their site gate. </w:t>
      </w:r>
    </w:p>
    <w:p w14:paraId="2D537A69" w14:textId="77777777" w:rsidR="003815C1" w:rsidRPr="00312347" w:rsidRDefault="003815C1" w:rsidP="003815C1">
      <w:pPr>
        <w:pStyle w:val="Listenabsatz"/>
        <w:ind w:left="0"/>
        <w:rPr>
          <w:rFonts w:asciiTheme="minorHAnsi" w:hAnsiTheme="minorHAnsi" w:cstheme="minorHAnsi"/>
          <w:szCs w:val="24"/>
          <w:lang w:val="en-US"/>
        </w:rPr>
      </w:pPr>
    </w:p>
    <w:p w14:paraId="768BE4AF" w14:textId="08104D3B" w:rsidR="003815C1" w:rsidRPr="00312347" w:rsidRDefault="003815C1" w:rsidP="003815C1">
      <w:pPr>
        <w:pStyle w:val="Listenabsatz"/>
        <w:ind w:left="0"/>
        <w:rPr>
          <w:rFonts w:asciiTheme="minorHAnsi" w:hAnsiTheme="minorHAnsi" w:cstheme="minorHAnsi"/>
          <w:sz w:val="24"/>
          <w:szCs w:val="24"/>
          <w:lang w:val="en-US"/>
        </w:rPr>
      </w:pPr>
      <w:r w:rsidRPr="00312347">
        <w:rPr>
          <w:rFonts w:asciiTheme="minorHAnsi" w:hAnsiTheme="minorHAnsi" w:cstheme="minorHAnsi"/>
          <w:szCs w:val="24"/>
          <w:lang w:val="en-US"/>
        </w:rPr>
        <w:t xml:space="preserve">In terms of local distribution of hydrogen production, part of this aspect is the availability of the existing gas grid infrastructure and electricity grid infrastructure in each Member State. In this regard, an optimum </w:t>
      </w:r>
      <w:proofErr w:type="gramStart"/>
      <w:r w:rsidRPr="00312347">
        <w:rPr>
          <w:rFonts w:asciiTheme="minorHAnsi" w:hAnsiTheme="minorHAnsi" w:cstheme="minorHAnsi"/>
          <w:szCs w:val="24"/>
          <w:lang w:val="en-US"/>
        </w:rPr>
        <w:t>has to</w:t>
      </w:r>
      <w:proofErr w:type="gramEnd"/>
      <w:r w:rsidRPr="00312347">
        <w:rPr>
          <w:rFonts w:asciiTheme="minorHAnsi" w:hAnsiTheme="minorHAnsi" w:cstheme="minorHAnsi"/>
          <w:szCs w:val="24"/>
          <w:lang w:val="en-US"/>
        </w:rPr>
        <w:t xml:space="preserve"> be found, minimizing overall costs of transport (gas and electricity) and taking into account production and consumption potential. IFIEC believes that the most cost-effective route </w:t>
      </w:r>
      <w:r w:rsidRPr="00312347">
        <w:rPr>
          <w:rFonts w:asciiTheme="minorHAnsi" w:hAnsiTheme="minorHAnsi" w:cstheme="minorHAnsi"/>
          <w:szCs w:val="24"/>
          <w:lang w:val="en-US"/>
        </w:rPr>
        <w:lastRenderedPageBreak/>
        <w:t>forward is to kickstart hydrogen use around established industrial clusters until 2030, as this would optimize infrastructure investment (backbones) and allow efficient markets to develop between wholesale players (</w:t>
      </w:r>
      <w:proofErr w:type="gramStart"/>
      <w:r w:rsidRPr="00312347">
        <w:rPr>
          <w:rFonts w:asciiTheme="minorHAnsi" w:hAnsiTheme="minorHAnsi" w:cstheme="minorHAnsi"/>
          <w:szCs w:val="24"/>
          <w:lang w:val="en-US"/>
        </w:rPr>
        <w:t>a number of</w:t>
      </w:r>
      <w:proofErr w:type="gramEnd"/>
      <w:r w:rsidRPr="00312347">
        <w:rPr>
          <w:rFonts w:asciiTheme="minorHAnsi" w:hAnsiTheme="minorHAnsi" w:cstheme="minorHAnsi"/>
          <w:szCs w:val="24"/>
          <w:lang w:val="en-US"/>
        </w:rPr>
        <w:t xml:space="preserve"> them being prosumers). </w:t>
      </w:r>
    </w:p>
    <w:p w14:paraId="6FD105E8" w14:textId="77777777" w:rsidR="003815C1" w:rsidRPr="00312347" w:rsidRDefault="003815C1" w:rsidP="003815C1">
      <w:pPr>
        <w:pStyle w:val="Listenabsatz"/>
        <w:ind w:left="0"/>
        <w:rPr>
          <w:rFonts w:asciiTheme="minorHAnsi" w:hAnsiTheme="minorHAnsi" w:cstheme="minorHAnsi"/>
          <w:szCs w:val="24"/>
          <w:lang w:val="en-US"/>
        </w:rPr>
      </w:pPr>
    </w:p>
    <w:p w14:paraId="40DC8AB2" w14:textId="33E177C2" w:rsidR="003815C1" w:rsidRPr="00312347" w:rsidRDefault="003815C1" w:rsidP="003815C1">
      <w:pPr>
        <w:pStyle w:val="Listenabsatz"/>
        <w:ind w:left="0"/>
        <w:rPr>
          <w:rFonts w:asciiTheme="minorHAnsi" w:hAnsiTheme="minorHAnsi" w:cstheme="minorHAnsi"/>
          <w:szCs w:val="24"/>
          <w:lang w:val="en-US"/>
        </w:rPr>
      </w:pPr>
      <w:r w:rsidRPr="00312347">
        <w:rPr>
          <w:rFonts w:asciiTheme="minorHAnsi" w:hAnsiTheme="minorHAnsi" w:cstheme="minorHAnsi"/>
          <w:szCs w:val="24"/>
          <w:lang w:val="en-US"/>
        </w:rPr>
        <w:t xml:space="preserve">The strategy paper of the Commission supports the so called ‘Hydrogen Valleys’. In IFIECs view, the installation of electrolysis may be beneficial in areas where the electricity supply can be realized easily and where the necessary grid utilization is as low as possible, since hydrogen transport may be more economical than electricity transport, given e.g. electricity grid constraints. But in addition, local conditions (e.g. consumption patterns, existing grid infrastructure) </w:t>
      </w:r>
      <w:proofErr w:type="gramStart"/>
      <w:r w:rsidRPr="00312347">
        <w:rPr>
          <w:rFonts w:asciiTheme="minorHAnsi" w:hAnsiTheme="minorHAnsi" w:cstheme="minorHAnsi"/>
          <w:szCs w:val="24"/>
          <w:lang w:val="en-US"/>
        </w:rPr>
        <w:t>have to</w:t>
      </w:r>
      <w:proofErr w:type="gramEnd"/>
      <w:r w:rsidRPr="00312347">
        <w:rPr>
          <w:rFonts w:asciiTheme="minorHAnsi" w:hAnsiTheme="minorHAnsi" w:cstheme="minorHAnsi"/>
          <w:szCs w:val="24"/>
          <w:lang w:val="en-US"/>
        </w:rPr>
        <w:t xml:space="preserve"> be taken into account which may lead to electrolysis being best dispersed </w:t>
      </w:r>
      <w:proofErr w:type="spellStart"/>
      <w:r w:rsidRPr="00312347">
        <w:rPr>
          <w:rFonts w:asciiTheme="minorHAnsi" w:hAnsiTheme="minorHAnsi" w:cstheme="minorHAnsi"/>
          <w:szCs w:val="24"/>
          <w:lang w:val="en-US"/>
        </w:rPr>
        <w:t>decentral</w:t>
      </w:r>
      <w:r w:rsidR="001A2745">
        <w:rPr>
          <w:rFonts w:asciiTheme="minorHAnsi" w:hAnsiTheme="minorHAnsi" w:cstheme="minorHAnsi"/>
          <w:szCs w:val="24"/>
          <w:lang w:val="en-US"/>
        </w:rPr>
        <w:t>ly</w:t>
      </w:r>
      <w:proofErr w:type="spellEnd"/>
      <w:r w:rsidRPr="00312347">
        <w:rPr>
          <w:rFonts w:asciiTheme="minorHAnsi" w:hAnsiTheme="minorHAnsi" w:cstheme="minorHAnsi"/>
          <w:szCs w:val="24"/>
          <w:lang w:val="en-US"/>
        </w:rPr>
        <w:t>. This could be an optimal solution especially</w:t>
      </w:r>
      <w:r w:rsidR="00837409">
        <w:rPr>
          <w:rFonts w:asciiTheme="minorHAnsi" w:hAnsiTheme="minorHAnsi" w:cstheme="minorHAnsi"/>
          <w:szCs w:val="24"/>
          <w:lang w:val="en-US"/>
        </w:rPr>
        <w:t xml:space="preserve"> in</w:t>
      </w:r>
      <w:r w:rsidRPr="00312347">
        <w:rPr>
          <w:rFonts w:asciiTheme="minorHAnsi" w:hAnsiTheme="minorHAnsi" w:cstheme="minorHAnsi"/>
          <w:szCs w:val="24"/>
          <w:lang w:val="en-US"/>
        </w:rPr>
        <w:t xml:space="preserve"> the early stages of hydrogen market ramp-up. Building electrolysis at/close to industrial consumption centers could allow for easier and quicker installation of electrolysis, e.g. in terms of permits and existing infrastructure. In the end, </w:t>
      </w:r>
      <w:r w:rsidR="001A2745">
        <w:rPr>
          <w:rFonts w:asciiTheme="minorHAnsi" w:hAnsiTheme="minorHAnsi" w:cstheme="minorHAnsi"/>
          <w:szCs w:val="24"/>
          <w:lang w:val="en-US"/>
        </w:rPr>
        <w:t>the choice of the optimal location</w:t>
      </w:r>
      <w:r w:rsidR="001A2745"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should be left to the market, where players should have the flexibility to use either electrons or molecules.</w:t>
      </w:r>
    </w:p>
    <w:p w14:paraId="67C19A6A" w14:textId="77777777" w:rsidR="003815C1" w:rsidRPr="00312347" w:rsidRDefault="003815C1" w:rsidP="003815C1">
      <w:pPr>
        <w:pStyle w:val="Listenabsatz"/>
        <w:ind w:left="0"/>
        <w:rPr>
          <w:rFonts w:asciiTheme="minorHAnsi" w:hAnsiTheme="minorHAnsi" w:cstheme="minorHAnsi"/>
          <w:szCs w:val="24"/>
          <w:highlight w:val="yellow"/>
          <w:lang w:val="en-US"/>
        </w:rPr>
      </w:pPr>
    </w:p>
    <w:p w14:paraId="094DC6DA" w14:textId="147F07EC" w:rsidR="003815C1" w:rsidRPr="00312347" w:rsidRDefault="003815C1" w:rsidP="003815C1">
      <w:pPr>
        <w:pStyle w:val="Listenabsatz"/>
        <w:ind w:left="0"/>
        <w:rPr>
          <w:rFonts w:asciiTheme="minorHAnsi" w:hAnsiTheme="minorHAnsi" w:cstheme="minorHAnsi"/>
          <w:szCs w:val="24"/>
          <w:lang w:val="en-US"/>
        </w:rPr>
      </w:pPr>
      <w:r w:rsidRPr="00312347">
        <w:rPr>
          <w:rFonts w:asciiTheme="minorHAnsi" w:hAnsiTheme="minorHAnsi" w:cstheme="minorHAnsi"/>
          <w:szCs w:val="24"/>
          <w:lang w:val="en-US"/>
        </w:rPr>
        <w:t xml:space="preserve">Notwithstanding the above, </w:t>
      </w:r>
      <w:r w:rsidR="00256B43">
        <w:rPr>
          <w:rFonts w:asciiTheme="minorHAnsi" w:hAnsiTheme="minorHAnsi" w:cstheme="minorHAnsi"/>
          <w:szCs w:val="24"/>
          <w:lang w:val="en-US"/>
        </w:rPr>
        <w:t xml:space="preserve">green and low carbon </w:t>
      </w:r>
      <w:r w:rsidRPr="00312347">
        <w:rPr>
          <w:rFonts w:asciiTheme="minorHAnsi" w:hAnsiTheme="minorHAnsi" w:cstheme="minorHAnsi"/>
          <w:szCs w:val="24"/>
          <w:lang w:val="en-US"/>
        </w:rPr>
        <w:t>electricity should be available to everybody, not prioritized for specific consumers, i.e. the basic principle of having a level playing field in the electricity market should not be distorted</w:t>
      </w:r>
      <w:r w:rsidR="00120AE8" w:rsidRPr="00312347">
        <w:rPr>
          <w:rFonts w:asciiTheme="minorHAnsi" w:hAnsiTheme="minorHAnsi" w:cstheme="minorHAnsi"/>
          <w:szCs w:val="24"/>
          <w:lang w:val="en-US"/>
        </w:rPr>
        <w:t xml:space="preserve">. </w:t>
      </w:r>
      <w:r w:rsidR="00120AE8">
        <w:rPr>
          <w:rFonts w:asciiTheme="minorHAnsi" w:hAnsiTheme="minorHAnsi" w:cstheme="minorHAnsi"/>
          <w:szCs w:val="24"/>
          <w:lang w:val="en-US"/>
        </w:rPr>
        <w:t xml:space="preserve">The value of electricity (including </w:t>
      </w:r>
      <w:r w:rsidR="00256B43">
        <w:rPr>
          <w:rFonts w:asciiTheme="minorHAnsi" w:hAnsiTheme="minorHAnsi" w:cstheme="minorHAnsi"/>
          <w:szCs w:val="24"/>
          <w:lang w:val="en-US"/>
        </w:rPr>
        <w:t xml:space="preserve">green and </w:t>
      </w:r>
      <w:r w:rsidR="00120AE8">
        <w:rPr>
          <w:rFonts w:asciiTheme="minorHAnsi" w:hAnsiTheme="minorHAnsi" w:cstheme="minorHAnsi"/>
          <w:szCs w:val="24"/>
          <w:lang w:val="en-US"/>
        </w:rPr>
        <w:t>low carbon) should be determined by the market and its obligations and responsibilities.</w:t>
      </w:r>
    </w:p>
    <w:p w14:paraId="07D253B8" w14:textId="77777777" w:rsidR="003815C1" w:rsidRPr="00312347" w:rsidRDefault="003815C1" w:rsidP="003815C1">
      <w:pPr>
        <w:rPr>
          <w:rFonts w:asciiTheme="minorHAnsi" w:hAnsiTheme="minorHAnsi" w:cstheme="minorHAnsi"/>
          <w:szCs w:val="24"/>
          <w:lang w:val="en-US"/>
        </w:rPr>
      </w:pPr>
    </w:p>
    <w:p w14:paraId="2AE26800" w14:textId="4984DA27" w:rsidR="003815C1" w:rsidRPr="00701C7B" w:rsidRDefault="003815C1" w:rsidP="003815C1">
      <w:pPr>
        <w:rPr>
          <w:rFonts w:asciiTheme="minorHAnsi" w:hAnsiTheme="minorHAnsi" w:cstheme="minorHAnsi"/>
          <w:b/>
          <w:bCs/>
          <w:szCs w:val="24"/>
          <w:lang w:val="en-US"/>
        </w:rPr>
      </w:pPr>
      <w:r w:rsidRPr="00701C7B">
        <w:rPr>
          <w:rFonts w:asciiTheme="minorHAnsi" w:hAnsiTheme="minorHAnsi" w:cstheme="minorHAnsi"/>
          <w:b/>
          <w:bCs/>
          <w:szCs w:val="24"/>
          <w:lang w:val="en-US"/>
        </w:rPr>
        <w:t xml:space="preserve">IFIEC prefers a dedicated hydrogen </w:t>
      </w:r>
      <w:r w:rsidR="001A2745">
        <w:rPr>
          <w:rFonts w:asciiTheme="minorHAnsi" w:hAnsiTheme="minorHAnsi" w:cstheme="minorHAnsi"/>
          <w:b/>
          <w:bCs/>
          <w:szCs w:val="24"/>
          <w:lang w:val="en-US"/>
        </w:rPr>
        <w:t xml:space="preserve">transmission </w:t>
      </w:r>
      <w:r w:rsidRPr="00701C7B">
        <w:rPr>
          <w:rFonts w:asciiTheme="minorHAnsi" w:hAnsiTheme="minorHAnsi" w:cstheme="minorHAnsi"/>
          <w:b/>
          <w:bCs/>
          <w:szCs w:val="24"/>
          <w:lang w:val="en-US"/>
        </w:rPr>
        <w:t>system</w:t>
      </w:r>
      <w:r w:rsidR="00256B43">
        <w:rPr>
          <w:rFonts w:asciiTheme="minorHAnsi" w:hAnsiTheme="minorHAnsi" w:cstheme="minorHAnsi"/>
          <w:b/>
          <w:bCs/>
          <w:szCs w:val="24"/>
          <w:lang w:val="en-US"/>
        </w:rPr>
        <w:t>.</w:t>
      </w:r>
      <w:r w:rsidRPr="00701C7B">
        <w:rPr>
          <w:rFonts w:asciiTheme="minorHAnsi" w:hAnsiTheme="minorHAnsi" w:cstheme="minorHAnsi"/>
          <w:b/>
          <w:bCs/>
          <w:szCs w:val="24"/>
          <w:lang w:val="en-US"/>
        </w:rPr>
        <w:t xml:space="preserve"> The addition of hydrogen to the national gas </w:t>
      </w:r>
      <w:r w:rsidR="00A942A7">
        <w:rPr>
          <w:rFonts w:asciiTheme="minorHAnsi" w:hAnsiTheme="minorHAnsi" w:cstheme="minorHAnsi"/>
          <w:b/>
          <w:bCs/>
          <w:szCs w:val="24"/>
          <w:lang w:val="en-US"/>
        </w:rPr>
        <w:t>distribution</w:t>
      </w:r>
      <w:r w:rsidR="00A942A7" w:rsidRPr="00701C7B">
        <w:rPr>
          <w:rFonts w:asciiTheme="minorHAnsi" w:hAnsiTheme="minorHAnsi" w:cstheme="minorHAnsi"/>
          <w:b/>
          <w:bCs/>
          <w:szCs w:val="24"/>
          <w:lang w:val="en-US"/>
        </w:rPr>
        <w:t xml:space="preserve"> </w:t>
      </w:r>
      <w:r w:rsidRPr="00701C7B">
        <w:rPr>
          <w:rFonts w:asciiTheme="minorHAnsi" w:hAnsiTheme="minorHAnsi" w:cstheme="minorHAnsi"/>
          <w:b/>
          <w:bCs/>
          <w:szCs w:val="24"/>
          <w:lang w:val="en-US"/>
        </w:rPr>
        <w:t>system may be considered as a temporary measure</w:t>
      </w:r>
      <w:r w:rsidR="00A942A7">
        <w:rPr>
          <w:rFonts w:asciiTheme="minorHAnsi" w:hAnsiTheme="minorHAnsi" w:cstheme="minorHAnsi"/>
          <w:szCs w:val="24"/>
          <w:lang w:val="en-US"/>
        </w:rPr>
        <w:t>,</w:t>
      </w:r>
      <w:r w:rsidR="00A942A7" w:rsidRPr="00256B43">
        <w:rPr>
          <w:rFonts w:asciiTheme="minorHAnsi" w:hAnsiTheme="minorHAnsi" w:cstheme="minorHAnsi"/>
          <w:b/>
          <w:bCs/>
          <w:szCs w:val="24"/>
          <w:lang w:val="en-US"/>
        </w:rPr>
        <w:t xml:space="preserve"> </w:t>
      </w:r>
      <w:proofErr w:type="gramStart"/>
      <w:r w:rsidR="00A942A7" w:rsidRPr="00256B43">
        <w:rPr>
          <w:rFonts w:asciiTheme="minorHAnsi" w:hAnsiTheme="minorHAnsi" w:cstheme="minorHAnsi"/>
          <w:b/>
          <w:bCs/>
          <w:szCs w:val="24"/>
          <w:lang w:val="en-US"/>
        </w:rPr>
        <w:t>as long as</w:t>
      </w:r>
      <w:proofErr w:type="gramEnd"/>
      <w:r w:rsidR="00A942A7" w:rsidRPr="00256B43">
        <w:rPr>
          <w:rFonts w:asciiTheme="minorHAnsi" w:hAnsiTheme="minorHAnsi" w:cstheme="minorHAnsi"/>
          <w:b/>
          <w:bCs/>
          <w:szCs w:val="24"/>
          <w:lang w:val="en-US"/>
        </w:rPr>
        <w:t xml:space="preserve"> quality needs of gas customers are taken into account.</w:t>
      </w:r>
      <w:r w:rsidRPr="00256B43">
        <w:rPr>
          <w:rFonts w:asciiTheme="minorHAnsi" w:hAnsiTheme="minorHAnsi" w:cstheme="minorHAnsi"/>
          <w:b/>
          <w:bCs/>
          <w:szCs w:val="24"/>
          <w:lang w:val="en-US"/>
        </w:rPr>
        <w:t xml:space="preserve"> </w:t>
      </w:r>
      <w:r w:rsidRPr="00701C7B">
        <w:rPr>
          <w:rFonts w:asciiTheme="minorHAnsi" w:hAnsiTheme="minorHAnsi" w:cstheme="minorHAnsi"/>
          <w:b/>
          <w:bCs/>
          <w:szCs w:val="24"/>
          <w:lang w:val="en-US"/>
        </w:rPr>
        <w:t>In IFIECs view, the rollout of a dedicated hydrogen infrastructure with transport, storage and (inter)connections will be an organic, phased development, following a pathway starting  locally/national</w:t>
      </w:r>
      <w:r w:rsidR="00A942A7">
        <w:rPr>
          <w:rFonts w:asciiTheme="minorHAnsi" w:hAnsiTheme="minorHAnsi" w:cstheme="minorHAnsi"/>
          <w:b/>
          <w:bCs/>
          <w:szCs w:val="24"/>
          <w:lang w:val="en-US"/>
        </w:rPr>
        <w:t>ly</w:t>
      </w:r>
      <w:r w:rsidRPr="00701C7B">
        <w:rPr>
          <w:rFonts w:asciiTheme="minorHAnsi" w:hAnsiTheme="minorHAnsi" w:cstheme="minorHAnsi"/>
          <w:b/>
          <w:bCs/>
          <w:szCs w:val="24"/>
          <w:lang w:val="en-US"/>
        </w:rPr>
        <w:t xml:space="preserve"> and </w:t>
      </w:r>
      <w:r w:rsidR="00A942A7" w:rsidRPr="00701C7B">
        <w:rPr>
          <w:rFonts w:asciiTheme="minorHAnsi" w:hAnsiTheme="minorHAnsi" w:cstheme="minorHAnsi"/>
          <w:b/>
          <w:bCs/>
          <w:szCs w:val="24"/>
          <w:lang w:val="en-US"/>
        </w:rPr>
        <w:t>th</w:t>
      </w:r>
      <w:r w:rsidR="00A942A7">
        <w:rPr>
          <w:rFonts w:asciiTheme="minorHAnsi" w:hAnsiTheme="minorHAnsi" w:cstheme="minorHAnsi"/>
          <w:b/>
          <w:bCs/>
          <w:szCs w:val="24"/>
          <w:lang w:val="en-US"/>
        </w:rPr>
        <w:t>e</w:t>
      </w:r>
      <w:r w:rsidR="00A942A7" w:rsidRPr="00701C7B">
        <w:rPr>
          <w:rFonts w:asciiTheme="minorHAnsi" w:hAnsiTheme="minorHAnsi" w:cstheme="minorHAnsi"/>
          <w:b/>
          <w:bCs/>
          <w:szCs w:val="24"/>
          <w:lang w:val="en-US"/>
        </w:rPr>
        <w:t xml:space="preserve">n </w:t>
      </w:r>
      <w:r w:rsidRPr="00701C7B">
        <w:rPr>
          <w:rFonts w:asciiTheme="minorHAnsi" w:hAnsiTheme="minorHAnsi" w:cstheme="minorHAnsi"/>
          <w:b/>
          <w:bCs/>
          <w:szCs w:val="24"/>
          <w:lang w:val="en-US"/>
        </w:rPr>
        <w:t>connects local initiatives to  a European regional and a European-wide hydrogen supply, that is both reliable and affordable for the users of this infrastructure.</w:t>
      </w:r>
    </w:p>
    <w:p w14:paraId="4ABC9DA5" w14:textId="77777777" w:rsidR="003815C1" w:rsidRPr="00312347" w:rsidRDefault="003815C1" w:rsidP="003815C1">
      <w:pPr>
        <w:rPr>
          <w:rFonts w:asciiTheme="minorHAnsi" w:hAnsiTheme="minorHAnsi" w:cstheme="minorHAnsi"/>
          <w:lang w:val="en-US"/>
        </w:rPr>
      </w:pPr>
    </w:p>
    <w:p w14:paraId="40F88E05" w14:textId="77777777" w:rsidR="003815C1" w:rsidRPr="00312347" w:rsidRDefault="003815C1" w:rsidP="003815C1">
      <w:pPr>
        <w:rPr>
          <w:rFonts w:asciiTheme="minorHAnsi" w:hAnsiTheme="minorHAnsi" w:cstheme="minorHAnsi"/>
          <w:szCs w:val="24"/>
          <w:lang w:val="en-US"/>
        </w:rPr>
      </w:pPr>
      <w:r w:rsidRPr="00312347">
        <w:rPr>
          <w:rFonts w:asciiTheme="minorHAnsi" w:hAnsiTheme="minorHAnsi" w:cstheme="minorHAnsi"/>
          <w:szCs w:val="24"/>
          <w:lang w:val="en-US"/>
        </w:rPr>
        <w:t>As far as gas is concerned, end users will have to face more volatile composition of gas because of decreasing natural gas production, increasing LNG imports and production of intermittent renewable gasses such as biomethane, biogas and hydrogen. On the transmission level, IFIEC advocates for dedicated hydrogen grids which can be created partly by rededication of gas grids. Dedicated hydrogen grids allow for delivering hydrogen in a pure quality, which is needed by some industrial consumers. Moreover, blending of small qualities of hydrogen into gas grids may be possible on the distribution level, taking account of the quality needs of the respective customers.</w:t>
      </w:r>
    </w:p>
    <w:p w14:paraId="64A2D38F" w14:textId="0A8093D4" w:rsidR="003815C1" w:rsidRPr="00310F5C" w:rsidRDefault="003815C1" w:rsidP="00310F5C">
      <w:pPr>
        <w:pStyle w:val="Formatvorlage1"/>
        <w:rPr>
          <w:rFonts w:asciiTheme="minorHAnsi" w:eastAsia="Calibri" w:hAnsiTheme="minorHAnsi" w:cstheme="minorHAnsi"/>
          <w:color w:val="auto"/>
          <w:sz w:val="22"/>
          <w:szCs w:val="24"/>
          <w:lang w:val="en-US" w:eastAsia="en-US"/>
        </w:rPr>
      </w:pPr>
      <w:r w:rsidRPr="00312347">
        <w:rPr>
          <w:rFonts w:asciiTheme="minorHAnsi" w:eastAsia="Calibri" w:hAnsiTheme="minorHAnsi" w:cstheme="minorHAnsi"/>
          <w:color w:val="auto"/>
          <w:sz w:val="22"/>
          <w:szCs w:val="24"/>
          <w:lang w:val="en-US" w:eastAsia="en-US"/>
        </w:rPr>
        <w:t xml:space="preserve">As a prerequisite for creating an internal hydrogen market allowing for cross-border trade, quality standards need to be harmonized at a European level. </w:t>
      </w:r>
    </w:p>
    <w:p w14:paraId="53DBB2CF" w14:textId="77777777" w:rsidR="00F21D56" w:rsidRPr="00312347" w:rsidRDefault="00F21D56" w:rsidP="003815C1">
      <w:pPr>
        <w:rPr>
          <w:rFonts w:asciiTheme="minorHAnsi" w:hAnsiTheme="minorHAnsi" w:cstheme="minorHAnsi"/>
          <w:szCs w:val="24"/>
          <w:lang w:val="en-US"/>
        </w:rPr>
      </w:pPr>
    </w:p>
    <w:p w14:paraId="559B0A49" w14:textId="3536E273" w:rsidR="003815C1" w:rsidRDefault="003815C1" w:rsidP="003815C1">
      <w:pPr>
        <w:pStyle w:val="Listenabsatz"/>
        <w:numPr>
          <w:ilvl w:val="1"/>
          <w:numId w:val="40"/>
        </w:numPr>
        <w:rPr>
          <w:rFonts w:asciiTheme="minorHAnsi" w:eastAsia="Times New Roman" w:hAnsiTheme="minorHAnsi" w:cstheme="minorHAnsi"/>
          <w:b/>
          <w:bCs/>
          <w:color w:val="3871C1"/>
          <w:sz w:val="28"/>
          <w:szCs w:val="28"/>
          <w:lang w:val="en-GB"/>
        </w:rPr>
      </w:pPr>
      <w:r w:rsidRPr="00312347">
        <w:rPr>
          <w:rFonts w:asciiTheme="minorHAnsi" w:eastAsia="Times New Roman" w:hAnsiTheme="minorHAnsi" w:cstheme="minorHAnsi"/>
          <w:b/>
          <w:bCs/>
          <w:color w:val="3871C1"/>
          <w:sz w:val="28"/>
          <w:szCs w:val="28"/>
          <w:lang w:val="en-GB"/>
        </w:rPr>
        <w:t>CCS and infrastructure</w:t>
      </w:r>
    </w:p>
    <w:p w14:paraId="37E67D98" w14:textId="771066D2" w:rsidR="003815C1" w:rsidRPr="00312347" w:rsidRDefault="003815C1" w:rsidP="003815C1">
      <w:pPr>
        <w:rPr>
          <w:rFonts w:asciiTheme="minorHAnsi" w:hAnsiTheme="minorHAnsi" w:cstheme="minorHAnsi"/>
          <w:szCs w:val="24"/>
          <w:lang w:val="en-US"/>
        </w:rPr>
      </w:pPr>
      <w:r w:rsidRPr="00312347">
        <w:rPr>
          <w:rFonts w:asciiTheme="minorHAnsi" w:hAnsiTheme="minorHAnsi" w:cstheme="minorHAnsi"/>
          <w:szCs w:val="24"/>
          <w:lang w:val="en-US"/>
        </w:rPr>
        <w:t>In IFIEC</w:t>
      </w:r>
      <w:r w:rsidR="00A942A7">
        <w:rPr>
          <w:rFonts w:asciiTheme="minorHAnsi" w:hAnsiTheme="minorHAnsi" w:cstheme="minorHAnsi"/>
          <w:szCs w:val="24"/>
          <w:lang w:val="en-US"/>
        </w:rPr>
        <w:t>’</w:t>
      </w:r>
      <w:r w:rsidRPr="00312347">
        <w:rPr>
          <w:rFonts w:asciiTheme="minorHAnsi" w:hAnsiTheme="minorHAnsi" w:cstheme="minorHAnsi"/>
          <w:szCs w:val="24"/>
          <w:lang w:val="en-US"/>
        </w:rPr>
        <w:t>s view</w:t>
      </w:r>
      <w:r w:rsidRPr="00A60077">
        <w:rPr>
          <w:rFonts w:asciiTheme="minorHAnsi" w:hAnsiTheme="minorHAnsi" w:cstheme="minorHAnsi"/>
          <w:b/>
          <w:bCs/>
          <w:szCs w:val="24"/>
          <w:lang w:val="en-US"/>
        </w:rPr>
        <w:t>, Carbon Capture and Storage (CCS) needs much more attention in the hydrogen strategy</w:t>
      </w:r>
      <w:r w:rsidRPr="00312347">
        <w:rPr>
          <w:rFonts w:asciiTheme="minorHAnsi" w:hAnsiTheme="minorHAnsi" w:cstheme="minorHAnsi"/>
          <w:szCs w:val="24"/>
          <w:lang w:val="en-US"/>
        </w:rPr>
        <w:t xml:space="preserve"> as it is an essential and cost-effectively technology for a major reduction of the CO</w:t>
      </w:r>
      <w:r w:rsidRPr="00933EAD">
        <w:rPr>
          <w:rFonts w:asciiTheme="minorHAnsi" w:hAnsiTheme="minorHAnsi" w:cstheme="minorHAnsi"/>
          <w:szCs w:val="24"/>
          <w:vertAlign w:val="subscript"/>
          <w:lang w:val="en-US"/>
        </w:rPr>
        <w:t>2</w:t>
      </w:r>
      <w:r w:rsidRPr="00312347">
        <w:rPr>
          <w:rFonts w:asciiTheme="minorHAnsi" w:hAnsiTheme="minorHAnsi" w:cstheme="minorHAnsi"/>
          <w:szCs w:val="24"/>
          <w:lang w:val="en-US"/>
        </w:rPr>
        <w:t xml:space="preserve"> emissions in the short run up to 2030 and possibly 2040. In this first period of the energy transition, the production of </w:t>
      </w:r>
      <w:r w:rsidR="00142D39">
        <w:rPr>
          <w:rFonts w:asciiTheme="minorHAnsi" w:hAnsiTheme="minorHAnsi" w:cstheme="minorHAnsi"/>
          <w:szCs w:val="24"/>
          <w:lang w:val="en-US"/>
        </w:rPr>
        <w:t xml:space="preserve">green and </w:t>
      </w:r>
      <w:r w:rsidR="00120AE8">
        <w:rPr>
          <w:rFonts w:asciiTheme="minorHAnsi" w:hAnsiTheme="minorHAnsi" w:cstheme="minorHAnsi"/>
          <w:szCs w:val="24"/>
          <w:lang w:val="en-US"/>
        </w:rPr>
        <w:t>low carbon</w:t>
      </w:r>
      <w:r w:rsidR="00120AE8"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 xml:space="preserve">hydrogen will not be available at a required volume and efficient </w:t>
      </w:r>
      <w:r w:rsidRPr="00312347">
        <w:rPr>
          <w:rFonts w:asciiTheme="minorHAnsi" w:hAnsiTheme="minorHAnsi" w:cstheme="minorHAnsi"/>
          <w:szCs w:val="24"/>
          <w:lang w:val="en-US"/>
        </w:rPr>
        <w:lastRenderedPageBreak/>
        <w:t>cost level. Adding CCS to the production of hydrogen using natural gas and mineral oil, presents an opportunity to kickstart a hydrogen market and to reduce emissions in a period (up</w:t>
      </w:r>
      <w:r w:rsidR="00AE262A"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to 2030) where alternatives are limited. In its report to the European Gas Regulatory Forum of 5-6 June 2019 (Madrid Forum), IOGP, together with several other stakeholders including IFIEC, concluded that CCS can be seen as a long-term investment, since the production of hydrogen can take place close to industrial clusters and provide access to both hydrogen and CO</w:t>
      </w:r>
      <w:r w:rsidRPr="00933EAD">
        <w:rPr>
          <w:rFonts w:asciiTheme="minorHAnsi" w:hAnsiTheme="minorHAnsi" w:cstheme="minorHAnsi"/>
          <w:szCs w:val="24"/>
          <w:vertAlign w:val="subscript"/>
          <w:lang w:val="en-US"/>
        </w:rPr>
        <w:t>2</w:t>
      </w:r>
      <w:r w:rsidRPr="00312347">
        <w:rPr>
          <w:rFonts w:asciiTheme="minorHAnsi" w:hAnsiTheme="minorHAnsi" w:cstheme="minorHAnsi"/>
          <w:szCs w:val="24"/>
          <w:lang w:val="en-US"/>
        </w:rPr>
        <w:t xml:space="preserve"> transport infrastructure for industries requiring these services to continue operating in a </w:t>
      </w:r>
      <w:r w:rsidR="00ED0498">
        <w:rPr>
          <w:rFonts w:asciiTheme="minorHAnsi" w:hAnsiTheme="minorHAnsi" w:cstheme="minorHAnsi"/>
          <w:szCs w:val="24"/>
          <w:lang w:val="en-US"/>
        </w:rPr>
        <w:t>carbon neutral</w:t>
      </w:r>
      <w:r w:rsidRPr="00312347">
        <w:rPr>
          <w:rFonts w:asciiTheme="minorHAnsi" w:hAnsiTheme="minorHAnsi" w:cstheme="minorHAnsi"/>
          <w:szCs w:val="24"/>
          <w:lang w:val="en-US"/>
        </w:rPr>
        <w:t xml:space="preserve"> economy. In </w:t>
      </w:r>
      <w:r w:rsidR="00A942A7">
        <w:rPr>
          <w:rFonts w:asciiTheme="minorHAnsi" w:hAnsiTheme="minorHAnsi" w:cstheme="minorHAnsi"/>
          <w:szCs w:val="24"/>
          <w:lang w:val="en-US"/>
        </w:rPr>
        <w:t>combining</w:t>
      </w:r>
      <w:r w:rsidR="00A942A7" w:rsidRPr="00312347">
        <w:rPr>
          <w:rFonts w:asciiTheme="minorHAnsi" w:hAnsiTheme="minorHAnsi" w:cstheme="minorHAnsi"/>
          <w:szCs w:val="24"/>
          <w:lang w:val="en-US"/>
        </w:rPr>
        <w:t xml:space="preserve"> </w:t>
      </w:r>
      <w:r w:rsidRPr="00312347">
        <w:rPr>
          <w:rFonts w:asciiTheme="minorHAnsi" w:hAnsiTheme="minorHAnsi" w:cstheme="minorHAnsi"/>
          <w:szCs w:val="24"/>
          <w:lang w:val="en-US"/>
        </w:rPr>
        <w:t xml:space="preserve">renewable feedstock in pre- and post-combustion and process emissions from industry it even may lead to negative emissions. </w:t>
      </w:r>
      <w:r w:rsidR="00256B43" w:rsidRPr="00312347">
        <w:rPr>
          <w:rFonts w:asciiTheme="minorHAnsi" w:hAnsiTheme="minorHAnsi" w:cstheme="minorHAnsi"/>
          <w:szCs w:val="24"/>
          <w:lang w:val="en-US"/>
        </w:rPr>
        <w:t>Moreover,</w:t>
      </w:r>
      <w:r w:rsidRPr="00312347">
        <w:rPr>
          <w:rFonts w:asciiTheme="minorHAnsi" w:hAnsiTheme="minorHAnsi" w:cstheme="minorHAnsi"/>
          <w:szCs w:val="24"/>
          <w:lang w:val="en-US"/>
        </w:rPr>
        <w:t xml:space="preserve"> the report showed that the CO</w:t>
      </w:r>
      <w:r w:rsidRPr="00933EAD">
        <w:rPr>
          <w:rFonts w:asciiTheme="minorHAnsi" w:hAnsiTheme="minorHAnsi" w:cstheme="minorHAnsi"/>
          <w:szCs w:val="24"/>
          <w:vertAlign w:val="subscript"/>
          <w:lang w:val="en-US"/>
        </w:rPr>
        <w:t>2</w:t>
      </w:r>
      <w:r w:rsidRPr="00312347">
        <w:rPr>
          <w:rFonts w:asciiTheme="minorHAnsi" w:hAnsiTheme="minorHAnsi" w:cstheme="minorHAnsi"/>
          <w:szCs w:val="24"/>
          <w:lang w:val="en-US"/>
        </w:rPr>
        <w:t xml:space="preserve"> emission of electrolysis in the coming decades will be much higher and more expensive compared to natural gas in combination with CCS. One of the reasons is that the availability of green electricity to feed the electrolysis will be limited to meet the demand.   </w:t>
      </w:r>
    </w:p>
    <w:p w14:paraId="206CF95A" w14:textId="77777777" w:rsidR="003815C1" w:rsidRPr="00312347" w:rsidRDefault="003815C1" w:rsidP="003815C1">
      <w:pPr>
        <w:pStyle w:val="Listenabsatz"/>
        <w:ind w:left="792"/>
        <w:rPr>
          <w:rFonts w:asciiTheme="minorHAnsi" w:hAnsiTheme="minorHAnsi" w:cstheme="minorHAnsi"/>
          <w:szCs w:val="24"/>
          <w:lang w:val="en-US"/>
        </w:rPr>
      </w:pPr>
    </w:p>
    <w:p w14:paraId="0FA6AFF7" w14:textId="58832229" w:rsidR="003815C1" w:rsidRDefault="003815C1" w:rsidP="003815C1">
      <w:pPr>
        <w:pStyle w:val="Listenabsatz"/>
        <w:numPr>
          <w:ilvl w:val="1"/>
          <w:numId w:val="40"/>
        </w:numPr>
        <w:rPr>
          <w:rFonts w:asciiTheme="minorHAnsi" w:eastAsia="Times New Roman" w:hAnsiTheme="minorHAnsi" w:cstheme="minorHAnsi"/>
          <w:b/>
          <w:bCs/>
          <w:color w:val="3871C1"/>
          <w:sz w:val="28"/>
          <w:szCs w:val="28"/>
          <w:lang w:val="en-GB"/>
        </w:rPr>
      </w:pPr>
      <w:r w:rsidRPr="00312347">
        <w:rPr>
          <w:rFonts w:asciiTheme="minorHAnsi" w:eastAsia="Times New Roman" w:hAnsiTheme="minorHAnsi" w:cstheme="minorHAnsi"/>
          <w:b/>
          <w:bCs/>
          <w:color w:val="3871C1"/>
          <w:sz w:val="28"/>
          <w:szCs w:val="28"/>
          <w:lang w:val="en-GB"/>
        </w:rPr>
        <w:t>Import of Hydrogen</w:t>
      </w:r>
    </w:p>
    <w:p w14:paraId="08B94809" w14:textId="1D8C51AA" w:rsidR="003815C1" w:rsidRPr="00312347" w:rsidRDefault="003815C1" w:rsidP="003815C1">
      <w:pPr>
        <w:autoSpaceDE w:val="0"/>
        <w:autoSpaceDN w:val="0"/>
        <w:adjustRightInd w:val="0"/>
        <w:snapToGrid w:val="0"/>
        <w:spacing w:after="120"/>
        <w:rPr>
          <w:rFonts w:asciiTheme="minorHAnsi" w:eastAsia="Times" w:hAnsiTheme="minorHAnsi" w:cstheme="minorHAnsi"/>
          <w:szCs w:val="24"/>
          <w:lang w:val="en-US"/>
        </w:rPr>
      </w:pPr>
      <w:r w:rsidRPr="00312347">
        <w:rPr>
          <w:rFonts w:asciiTheme="minorHAnsi" w:hAnsiTheme="minorHAnsi" w:cstheme="minorHAnsi"/>
          <w:szCs w:val="24"/>
          <w:lang w:val="en-US"/>
        </w:rPr>
        <w:t>In IFIEC</w:t>
      </w:r>
      <w:r w:rsidR="00A942A7">
        <w:rPr>
          <w:rFonts w:asciiTheme="minorHAnsi" w:hAnsiTheme="minorHAnsi" w:cstheme="minorHAnsi"/>
          <w:szCs w:val="24"/>
          <w:lang w:val="en-US"/>
        </w:rPr>
        <w:t>’</w:t>
      </w:r>
      <w:r w:rsidRPr="00312347">
        <w:rPr>
          <w:rFonts w:asciiTheme="minorHAnsi" w:hAnsiTheme="minorHAnsi" w:cstheme="minorHAnsi"/>
          <w:szCs w:val="24"/>
          <w:lang w:val="en-US"/>
        </w:rPr>
        <w:t xml:space="preserve">s view, as in the past also in the future the European Union will not be self-sufficient regarding energy supply. At our best, we will be less dependent on energy coming from abroad. In that context, importing cost efficient hydrogen will be part of the energy mix in the EU.  </w:t>
      </w:r>
    </w:p>
    <w:p w14:paraId="4C697E9C" w14:textId="55D7B185" w:rsidR="00256B43" w:rsidRDefault="003815C1" w:rsidP="00256B43">
      <w:pPr>
        <w:autoSpaceDE w:val="0"/>
        <w:autoSpaceDN w:val="0"/>
        <w:adjustRightInd w:val="0"/>
        <w:snapToGrid w:val="0"/>
        <w:spacing w:after="120"/>
        <w:rPr>
          <w:rFonts w:asciiTheme="minorHAnsi" w:hAnsiTheme="minorHAnsi" w:cstheme="minorHAnsi"/>
          <w:szCs w:val="24"/>
          <w:lang w:val="en-US"/>
        </w:rPr>
      </w:pPr>
      <w:r w:rsidRPr="00312347">
        <w:rPr>
          <w:rFonts w:asciiTheme="minorHAnsi" w:hAnsiTheme="minorHAnsi" w:cstheme="minorHAnsi"/>
          <w:szCs w:val="24"/>
          <w:lang w:val="en-US"/>
        </w:rPr>
        <w:t>Considering this fact, IFIEC recommends establishing partnerships with third countries outside the EU and find the economic balance between hydrogen production within the EU and energy dependency.</w:t>
      </w:r>
    </w:p>
    <w:p w14:paraId="55C307FC" w14:textId="48A1A630" w:rsidR="003815C1" w:rsidRPr="00256B43" w:rsidRDefault="00084E24" w:rsidP="00256B43">
      <w:pPr>
        <w:rPr>
          <w:rFonts w:asciiTheme="minorHAnsi" w:hAnsiTheme="minorHAnsi" w:cstheme="minorHAnsi"/>
          <w:szCs w:val="24"/>
          <w:lang w:val="en-US"/>
        </w:rPr>
      </w:pPr>
      <w:r w:rsidRPr="00256B43">
        <w:rPr>
          <w:rFonts w:asciiTheme="minorHAnsi" w:hAnsiTheme="minorHAnsi" w:cstheme="minorHAnsi"/>
          <w:szCs w:val="24"/>
          <w:lang w:val="en-US"/>
        </w:rPr>
        <w:t>Moreover</w:t>
      </w:r>
      <w:r w:rsidR="00256B43">
        <w:rPr>
          <w:rFonts w:asciiTheme="minorHAnsi" w:hAnsiTheme="minorHAnsi" w:cstheme="minorHAnsi"/>
          <w:szCs w:val="24"/>
          <w:lang w:val="en-US"/>
        </w:rPr>
        <w:t>, s</w:t>
      </w:r>
      <w:r w:rsidR="003815C1" w:rsidRPr="00256B43">
        <w:rPr>
          <w:rFonts w:asciiTheme="minorHAnsi" w:hAnsiTheme="minorHAnsi" w:cstheme="minorHAnsi"/>
          <w:szCs w:val="24"/>
          <w:lang w:val="en-US"/>
        </w:rPr>
        <w:t xml:space="preserve">afeguard measures need to be taken to ensure that production of hydrogen outside the EU </w:t>
      </w:r>
      <w:r w:rsidR="00C706C0" w:rsidRPr="00256B43">
        <w:rPr>
          <w:rFonts w:asciiTheme="minorHAnsi" w:hAnsiTheme="minorHAnsi" w:cstheme="minorHAnsi"/>
          <w:szCs w:val="24"/>
          <w:lang w:val="en-US"/>
        </w:rPr>
        <w:t xml:space="preserve">will not </w:t>
      </w:r>
      <w:r w:rsidR="008566F9" w:rsidRPr="00256B43">
        <w:rPr>
          <w:rFonts w:asciiTheme="minorHAnsi" w:hAnsiTheme="minorHAnsi" w:cstheme="minorHAnsi"/>
          <w:szCs w:val="24"/>
          <w:lang w:val="en-US"/>
        </w:rPr>
        <w:t>incentivize</w:t>
      </w:r>
      <w:r w:rsidR="00C706C0" w:rsidRPr="00256B43">
        <w:rPr>
          <w:rFonts w:asciiTheme="minorHAnsi" w:hAnsiTheme="minorHAnsi" w:cstheme="minorHAnsi"/>
          <w:szCs w:val="24"/>
          <w:lang w:val="en-US"/>
        </w:rPr>
        <w:t xml:space="preserve"> </w:t>
      </w:r>
      <w:r w:rsidR="00A942A7" w:rsidRPr="00256B43">
        <w:rPr>
          <w:rFonts w:asciiTheme="minorHAnsi" w:hAnsiTheme="minorHAnsi" w:cstheme="minorHAnsi"/>
          <w:szCs w:val="24"/>
          <w:lang w:val="en-US"/>
        </w:rPr>
        <w:t xml:space="preserve">production </w:t>
      </w:r>
      <w:r w:rsidR="008566F9" w:rsidRPr="00256B43">
        <w:rPr>
          <w:rFonts w:asciiTheme="minorHAnsi" w:hAnsiTheme="minorHAnsi" w:cstheme="minorHAnsi"/>
          <w:szCs w:val="24"/>
          <w:lang w:val="en-US"/>
        </w:rPr>
        <w:t xml:space="preserve">to leave the </w:t>
      </w:r>
      <w:r w:rsidR="00AE262A" w:rsidRPr="00256B43">
        <w:rPr>
          <w:rFonts w:asciiTheme="minorHAnsi" w:hAnsiTheme="minorHAnsi" w:cstheme="minorHAnsi"/>
          <w:szCs w:val="24"/>
          <w:lang w:val="en-US"/>
        </w:rPr>
        <w:t xml:space="preserve">European </w:t>
      </w:r>
      <w:r w:rsidR="008566F9" w:rsidRPr="00256B43">
        <w:rPr>
          <w:rFonts w:asciiTheme="minorHAnsi" w:hAnsiTheme="minorHAnsi" w:cstheme="minorHAnsi"/>
          <w:szCs w:val="24"/>
          <w:lang w:val="en-US"/>
        </w:rPr>
        <w:t>Union</w:t>
      </w:r>
      <w:r w:rsidR="00B17D0C" w:rsidRPr="00256B43">
        <w:rPr>
          <w:rFonts w:asciiTheme="minorHAnsi" w:hAnsiTheme="minorHAnsi" w:cstheme="minorHAnsi"/>
          <w:szCs w:val="24"/>
          <w:lang w:val="en-US"/>
        </w:rPr>
        <w:t xml:space="preserve"> because of unequal GHG emission reduction requirements</w:t>
      </w:r>
      <w:r w:rsidR="008566F9" w:rsidRPr="00256B43">
        <w:rPr>
          <w:rFonts w:asciiTheme="minorHAnsi" w:hAnsiTheme="minorHAnsi" w:cstheme="minorHAnsi"/>
          <w:szCs w:val="24"/>
          <w:lang w:val="en-US"/>
        </w:rPr>
        <w:t xml:space="preserve">. </w:t>
      </w:r>
    </w:p>
    <w:p w14:paraId="4BEC1FAE" w14:textId="77777777" w:rsidR="00A269CF" w:rsidRPr="00312347" w:rsidRDefault="00A269CF" w:rsidP="00A269CF">
      <w:pPr>
        <w:pStyle w:val="Listenabsatz"/>
        <w:ind w:left="284"/>
        <w:contextualSpacing w:val="0"/>
        <w:rPr>
          <w:rFonts w:asciiTheme="minorHAnsi" w:hAnsiTheme="minorHAnsi" w:cstheme="minorHAnsi"/>
          <w:szCs w:val="24"/>
          <w:lang w:val="en-US"/>
        </w:rPr>
      </w:pPr>
    </w:p>
    <w:p w14:paraId="0FDE7365" w14:textId="77777777" w:rsidR="00837409" w:rsidRDefault="00837409" w:rsidP="00837409">
      <w:pPr>
        <w:pStyle w:val="Listenabsatz"/>
        <w:numPr>
          <w:ilvl w:val="1"/>
          <w:numId w:val="40"/>
        </w:numPr>
        <w:rPr>
          <w:rFonts w:asciiTheme="minorHAnsi" w:eastAsia="Times New Roman" w:hAnsiTheme="minorHAnsi" w:cstheme="minorHAnsi"/>
          <w:b/>
          <w:bCs/>
          <w:color w:val="3871C1"/>
          <w:sz w:val="28"/>
          <w:szCs w:val="28"/>
          <w:lang w:val="en-GB"/>
        </w:rPr>
      </w:pPr>
      <w:r>
        <w:rPr>
          <w:rFonts w:asciiTheme="minorHAnsi" w:eastAsia="Times New Roman" w:hAnsiTheme="minorHAnsi" w:cstheme="minorHAnsi"/>
          <w:b/>
          <w:bCs/>
          <w:color w:val="3871C1"/>
          <w:sz w:val="28"/>
          <w:szCs w:val="28"/>
          <w:lang w:val="en-GB"/>
        </w:rPr>
        <w:t>Accounting CO</w:t>
      </w:r>
      <w:r>
        <w:rPr>
          <w:rFonts w:asciiTheme="minorHAnsi" w:eastAsia="Times New Roman" w:hAnsiTheme="minorHAnsi" w:cstheme="minorHAnsi"/>
          <w:b/>
          <w:bCs/>
          <w:color w:val="3871C1"/>
          <w:sz w:val="28"/>
          <w:szCs w:val="28"/>
          <w:vertAlign w:val="subscript"/>
          <w:lang w:val="en-GB"/>
        </w:rPr>
        <w:t>2</w:t>
      </w:r>
      <w:r>
        <w:rPr>
          <w:rFonts w:asciiTheme="minorHAnsi" w:eastAsia="Times New Roman" w:hAnsiTheme="minorHAnsi" w:cstheme="minorHAnsi"/>
          <w:b/>
          <w:bCs/>
          <w:color w:val="3871C1"/>
          <w:sz w:val="28"/>
          <w:szCs w:val="28"/>
          <w:lang w:val="en-GB"/>
        </w:rPr>
        <w:t xml:space="preserve"> emissions </w:t>
      </w:r>
    </w:p>
    <w:p w14:paraId="63FDB644" w14:textId="15D8A821" w:rsidR="00837409" w:rsidRDefault="00837409" w:rsidP="00837409">
      <w:pPr>
        <w:rPr>
          <w:rFonts w:asciiTheme="minorHAnsi" w:hAnsiTheme="minorHAnsi" w:cstheme="minorHAnsi"/>
          <w:lang w:val="en-GB"/>
        </w:rPr>
      </w:pPr>
      <w:r>
        <w:rPr>
          <w:rFonts w:cstheme="minorHAnsi"/>
          <w:lang w:val="en-GB"/>
        </w:rPr>
        <w:t>IFIEC has asked for a sound and robust</w:t>
      </w:r>
      <w:r>
        <w:rPr>
          <w:rFonts w:cstheme="minorHAnsi"/>
          <w:b/>
          <w:bCs/>
          <w:lang w:val="en-GB"/>
        </w:rPr>
        <w:t xml:space="preserve"> </w:t>
      </w:r>
      <w:r>
        <w:rPr>
          <w:rFonts w:cstheme="minorHAnsi"/>
          <w:lang w:val="en-GB"/>
        </w:rPr>
        <w:t xml:space="preserve">accounting system for GHG-emissions. </w:t>
      </w:r>
      <w:r>
        <w:rPr>
          <w:rFonts w:eastAsia="Times New Roman" w:cstheme="minorHAnsi"/>
          <w:lang w:val="en-GB"/>
        </w:rPr>
        <w:t>Industry needs a</w:t>
      </w:r>
      <w:r w:rsidRPr="00C008A5">
        <w:rPr>
          <w:rFonts w:eastAsia="Times New Roman" w:cstheme="minorHAnsi"/>
          <w:lang w:val="en-GB"/>
        </w:rPr>
        <w:t xml:space="preserve">ccess </w:t>
      </w:r>
      <w:r w:rsidRPr="00C008A5">
        <w:rPr>
          <w:rFonts w:cstheme="minorHAnsi"/>
          <w:lang w:val="en-GB"/>
        </w:rPr>
        <w:t xml:space="preserve">to competitive </w:t>
      </w:r>
      <w:r w:rsidR="00407A62">
        <w:rPr>
          <w:rFonts w:cstheme="minorHAnsi"/>
          <w:lang w:val="en-GB"/>
        </w:rPr>
        <w:t xml:space="preserve">green and </w:t>
      </w:r>
      <w:r w:rsidRPr="00C008A5">
        <w:rPr>
          <w:rFonts w:cstheme="minorHAnsi"/>
          <w:lang w:val="en-GB"/>
        </w:rPr>
        <w:t>low carbon energy to reduce</w:t>
      </w:r>
      <w:r>
        <w:rPr>
          <w:rFonts w:cstheme="minorHAnsi"/>
          <w:lang w:val="en-GB"/>
        </w:rPr>
        <w:t xml:space="preserve"> its</w:t>
      </w:r>
      <w:r w:rsidRPr="00C008A5">
        <w:rPr>
          <w:rFonts w:cstheme="minorHAnsi"/>
          <w:lang w:val="en-GB"/>
        </w:rPr>
        <w:t xml:space="preserve"> GHG-emissions.</w:t>
      </w:r>
      <w:r w:rsidRPr="00C008A5">
        <w:rPr>
          <w:rFonts w:cstheme="minorHAnsi"/>
          <w:b/>
          <w:bCs/>
          <w:lang w:val="en-GB"/>
        </w:rPr>
        <w:t xml:space="preserve"> </w:t>
      </w:r>
      <w:r>
        <w:rPr>
          <w:lang w:val="en-GB"/>
        </w:rPr>
        <w:t>Therefore, we need a well-functioning</w:t>
      </w:r>
      <w:r w:rsidRPr="000B17C8">
        <w:rPr>
          <w:i/>
          <w:iCs/>
          <w:lang w:val="en-GB"/>
        </w:rPr>
        <w:t xml:space="preserve"> </w:t>
      </w:r>
      <w:r w:rsidRPr="007037F9">
        <w:rPr>
          <w:lang w:val="en-GB"/>
        </w:rPr>
        <w:t>accounting system for CO</w:t>
      </w:r>
      <w:r w:rsidRPr="007037F9">
        <w:rPr>
          <w:vertAlign w:val="subscript"/>
          <w:lang w:val="en-GB"/>
        </w:rPr>
        <w:t>2</w:t>
      </w:r>
      <w:r w:rsidRPr="007037F9">
        <w:rPr>
          <w:lang w:val="en-GB"/>
        </w:rPr>
        <w:t xml:space="preserve"> origin for </w:t>
      </w:r>
      <w:r w:rsidR="00407A62">
        <w:rPr>
          <w:lang w:val="en-GB"/>
        </w:rPr>
        <w:t xml:space="preserve">green and </w:t>
      </w:r>
      <w:r w:rsidRPr="007037F9">
        <w:rPr>
          <w:lang w:val="en-GB"/>
        </w:rPr>
        <w:t>low carbon gasses</w:t>
      </w:r>
      <w:r>
        <w:rPr>
          <w:lang w:val="en-GB"/>
        </w:rPr>
        <w:t xml:space="preserve"> </w:t>
      </w:r>
      <w:r w:rsidR="00B17D0C">
        <w:rPr>
          <w:lang w:val="en-GB"/>
        </w:rPr>
        <w:t>emitting CO</w:t>
      </w:r>
      <w:r w:rsidR="00B17D0C" w:rsidRPr="00933EAD">
        <w:rPr>
          <w:rFonts w:asciiTheme="minorHAnsi" w:hAnsiTheme="minorHAnsi" w:cstheme="minorHAnsi"/>
          <w:szCs w:val="24"/>
          <w:vertAlign w:val="subscript"/>
          <w:lang w:val="en-GB"/>
        </w:rPr>
        <w:t>2</w:t>
      </w:r>
      <w:r w:rsidR="00B17D0C">
        <w:rPr>
          <w:lang w:val="en-GB"/>
        </w:rPr>
        <w:t xml:space="preserve"> </w:t>
      </w:r>
      <w:r>
        <w:rPr>
          <w:lang w:val="en-GB"/>
        </w:rPr>
        <w:t>that is recognized by the Monitoring and Reporting Regulation</w:t>
      </w:r>
      <w:r w:rsidRPr="00B82FBE">
        <w:rPr>
          <w:i/>
          <w:iCs/>
          <w:lang w:val="en-GB"/>
        </w:rPr>
        <w:t>.</w:t>
      </w:r>
      <w:r w:rsidRPr="00DE2B02">
        <w:rPr>
          <w:rFonts w:asciiTheme="minorHAnsi" w:hAnsiTheme="minorHAnsi" w:cstheme="minorHAnsi"/>
          <w:lang w:val="en-GB"/>
        </w:rPr>
        <w:t xml:space="preserve"> </w:t>
      </w:r>
    </w:p>
    <w:p w14:paraId="77A41656" w14:textId="77777777" w:rsidR="00837409" w:rsidRDefault="00837409" w:rsidP="00837409">
      <w:pPr>
        <w:rPr>
          <w:rFonts w:asciiTheme="minorHAnsi" w:hAnsiTheme="minorHAnsi" w:cstheme="minorHAnsi"/>
          <w:lang w:val="en-GB"/>
        </w:rPr>
      </w:pPr>
    </w:p>
    <w:p w14:paraId="36161F9F" w14:textId="4FE869BD" w:rsidR="003815C1" w:rsidRDefault="003815C1" w:rsidP="00837409">
      <w:pPr>
        <w:pStyle w:val="Listenabsatz"/>
        <w:numPr>
          <w:ilvl w:val="1"/>
          <w:numId w:val="40"/>
        </w:numPr>
        <w:rPr>
          <w:rFonts w:asciiTheme="minorHAnsi" w:eastAsia="Times New Roman" w:hAnsiTheme="minorHAnsi" w:cstheme="minorHAnsi"/>
          <w:b/>
          <w:bCs/>
          <w:color w:val="3871C1"/>
          <w:sz w:val="28"/>
          <w:szCs w:val="28"/>
          <w:lang w:val="en-GB"/>
        </w:rPr>
      </w:pPr>
      <w:r w:rsidRPr="00312347">
        <w:rPr>
          <w:rFonts w:asciiTheme="minorHAnsi" w:eastAsia="Times New Roman" w:hAnsiTheme="minorHAnsi" w:cstheme="minorHAnsi"/>
          <w:b/>
          <w:bCs/>
          <w:color w:val="3871C1"/>
          <w:sz w:val="28"/>
          <w:szCs w:val="28"/>
          <w:lang w:val="en-GB"/>
        </w:rPr>
        <w:t>Regulation</w:t>
      </w:r>
    </w:p>
    <w:p w14:paraId="1FE1B5D0" w14:textId="6E2BA238" w:rsidR="003815C1" w:rsidRPr="00047465" w:rsidRDefault="00256B43" w:rsidP="00047465">
      <w:pPr>
        <w:rPr>
          <w:rFonts w:cstheme="minorHAnsi"/>
          <w:lang w:val="en-GB"/>
        </w:rPr>
      </w:pPr>
      <w:r w:rsidRPr="00047465">
        <w:rPr>
          <w:rFonts w:cstheme="minorHAnsi"/>
          <w:lang w:val="en-GB"/>
        </w:rPr>
        <w:t xml:space="preserve">Hydrogen </w:t>
      </w:r>
      <w:r w:rsidR="003815C1" w:rsidRPr="00047465">
        <w:rPr>
          <w:rFonts w:cstheme="minorHAnsi"/>
          <w:lang w:val="en-GB"/>
        </w:rPr>
        <w:t xml:space="preserve">supply that is </w:t>
      </w:r>
      <w:r w:rsidR="00ED0498">
        <w:rPr>
          <w:rFonts w:cstheme="minorHAnsi"/>
          <w:lang w:val="en-GB"/>
        </w:rPr>
        <w:t>carbon neutral</w:t>
      </w:r>
      <w:r w:rsidR="003815C1" w:rsidRPr="00047465">
        <w:rPr>
          <w:rFonts w:cstheme="minorHAnsi"/>
          <w:lang w:val="en-GB"/>
        </w:rPr>
        <w:t>, reliable and affordable</w:t>
      </w:r>
      <w:r w:rsidR="00B17D0C" w:rsidRPr="00047465">
        <w:rPr>
          <w:rFonts w:cstheme="minorHAnsi"/>
          <w:lang w:val="en-GB"/>
        </w:rPr>
        <w:t xml:space="preserve"> can help mitigating the climate</w:t>
      </w:r>
      <w:r w:rsidR="00232237" w:rsidRPr="00047465">
        <w:rPr>
          <w:rFonts w:cstheme="minorHAnsi"/>
          <w:lang w:val="en-GB"/>
        </w:rPr>
        <w:t xml:space="preserve"> </w:t>
      </w:r>
      <w:r w:rsidR="00B17D0C" w:rsidRPr="00047465">
        <w:rPr>
          <w:rFonts w:cstheme="minorHAnsi"/>
          <w:lang w:val="en-GB"/>
        </w:rPr>
        <w:t>problem</w:t>
      </w:r>
      <w:r w:rsidR="003815C1" w:rsidRPr="00047465">
        <w:rPr>
          <w:rFonts w:cstheme="minorHAnsi"/>
          <w:lang w:val="en-GB"/>
        </w:rPr>
        <w:t xml:space="preserve">. There is no </w:t>
      </w:r>
      <w:proofErr w:type="gramStart"/>
      <w:r w:rsidR="00A942A7" w:rsidRPr="00047465">
        <w:rPr>
          <w:rFonts w:cstheme="minorHAnsi"/>
          <w:lang w:val="en-GB"/>
        </w:rPr>
        <w:t>sufficient</w:t>
      </w:r>
      <w:proofErr w:type="gramEnd"/>
      <w:r w:rsidR="00A942A7" w:rsidRPr="00047465">
        <w:rPr>
          <w:rFonts w:cstheme="minorHAnsi"/>
          <w:lang w:val="en-GB"/>
        </w:rPr>
        <w:t xml:space="preserve"> </w:t>
      </w:r>
      <w:r w:rsidR="003815C1" w:rsidRPr="00047465">
        <w:rPr>
          <w:rFonts w:cstheme="minorHAnsi"/>
          <w:lang w:val="en-GB"/>
        </w:rPr>
        <w:t xml:space="preserve">existing </w:t>
      </w:r>
      <w:r w:rsidR="00ED0498">
        <w:rPr>
          <w:rFonts w:cstheme="minorHAnsi"/>
          <w:lang w:val="en-GB"/>
        </w:rPr>
        <w:t>carbon neutral</w:t>
      </w:r>
      <w:r w:rsidR="003815C1" w:rsidRPr="00047465">
        <w:rPr>
          <w:rFonts w:cstheme="minorHAnsi"/>
          <w:lang w:val="en-GB"/>
        </w:rPr>
        <w:t xml:space="preserve"> hydrogen supply yet. The</w:t>
      </w:r>
      <w:r w:rsidR="00047465">
        <w:rPr>
          <w:rFonts w:cstheme="minorHAnsi"/>
          <w:lang w:val="en-GB"/>
        </w:rPr>
        <w:t xml:space="preserve"> </w:t>
      </w:r>
      <w:r w:rsidR="003815C1" w:rsidRPr="00047465">
        <w:rPr>
          <w:rFonts w:cstheme="minorHAnsi"/>
          <w:lang w:val="en-GB"/>
        </w:rPr>
        <w:t xml:space="preserve">supply chain from production - transport - storage - consumption </w:t>
      </w:r>
      <w:r w:rsidR="00A942A7" w:rsidRPr="00047465">
        <w:rPr>
          <w:rFonts w:cstheme="minorHAnsi"/>
          <w:lang w:val="en-GB"/>
        </w:rPr>
        <w:t xml:space="preserve">is </w:t>
      </w:r>
      <w:r w:rsidR="003815C1" w:rsidRPr="00047465">
        <w:rPr>
          <w:rFonts w:cstheme="minorHAnsi"/>
          <w:lang w:val="en-GB"/>
        </w:rPr>
        <w:t>not organized and ordered.</w:t>
      </w:r>
      <w:r w:rsidR="00047465">
        <w:rPr>
          <w:rFonts w:cstheme="minorHAnsi"/>
          <w:lang w:val="en-GB"/>
        </w:rPr>
        <w:t xml:space="preserve"> </w:t>
      </w:r>
      <w:r w:rsidR="003815C1" w:rsidRPr="00047465">
        <w:rPr>
          <w:rFonts w:cstheme="minorHAnsi"/>
          <w:lang w:val="en-GB"/>
        </w:rPr>
        <w:t xml:space="preserve">For IFIEC, the most important starting point for such a provision of market regulation is comparable with the electricity and (natural) gas supply. Market where market is possible.  </w:t>
      </w:r>
    </w:p>
    <w:p w14:paraId="3108AE5A" w14:textId="071FD0C5" w:rsidR="003815C1" w:rsidRPr="00047465" w:rsidRDefault="003815C1" w:rsidP="00047465">
      <w:pPr>
        <w:rPr>
          <w:rFonts w:cstheme="minorHAnsi"/>
          <w:lang w:val="en-GB"/>
        </w:rPr>
      </w:pPr>
      <w:r w:rsidRPr="00047465">
        <w:rPr>
          <w:rFonts w:cstheme="minorHAnsi"/>
          <w:lang w:val="en-GB"/>
        </w:rPr>
        <w:t>When a (supra)national backbone infrastructure is realised, access to this infrastructure should be regulated, as with the electricity and natural gas infrastructure. With legal duties and obligations for a network operator (TSO), to be appointed by the government (MS) and with supervision of the national regulating authority (NRA).</w:t>
      </w:r>
    </w:p>
    <w:p w14:paraId="7FCBD041" w14:textId="77777777" w:rsidR="008C1F32" w:rsidRPr="0097025F" w:rsidRDefault="008C1F32" w:rsidP="003815C1">
      <w:pPr>
        <w:rPr>
          <w:rFonts w:asciiTheme="minorHAnsi" w:hAnsiTheme="minorHAnsi" w:cstheme="minorHAnsi"/>
          <w:lang w:val="en-GB"/>
        </w:rPr>
      </w:pPr>
    </w:p>
    <w:p w14:paraId="13C097D8" w14:textId="77777777" w:rsidR="003815C1" w:rsidRPr="00312347" w:rsidRDefault="003815C1" w:rsidP="003815C1">
      <w:pPr>
        <w:rPr>
          <w:rFonts w:asciiTheme="minorHAnsi" w:hAnsiTheme="minorHAnsi" w:cstheme="minorHAnsi"/>
          <w:szCs w:val="24"/>
          <w:lang w:val="en-US"/>
        </w:rPr>
      </w:pPr>
      <w:r w:rsidRPr="00312347">
        <w:rPr>
          <w:rFonts w:asciiTheme="minorHAnsi" w:hAnsiTheme="minorHAnsi" w:cstheme="minorHAnsi"/>
          <w:lang w:val="en-US"/>
        </w:rPr>
        <w:t xml:space="preserve">A supporting </w:t>
      </w:r>
      <w:r w:rsidRPr="00312347">
        <w:rPr>
          <w:rFonts w:asciiTheme="minorHAnsi" w:hAnsiTheme="minorHAnsi" w:cstheme="minorHAnsi"/>
          <w:szCs w:val="24"/>
          <w:lang w:val="en-US"/>
        </w:rPr>
        <w:t>regulatory framework should:</w:t>
      </w:r>
    </w:p>
    <w:p w14:paraId="5E8E0286" w14:textId="45D64FB6" w:rsidR="003815C1" w:rsidRPr="00047465" w:rsidRDefault="003815C1" w:rsidP="00047465">
      <w:pPr>
        <w:pStyle w:val="Listenabsatz"/>
        <w:numPr>
          <w:ilvl w:val="0"/>
          <w:numId w:val="39"/>
        </w:numPr>
        <w:ind w:left="284" w:hanging="284"/>
        <w:contextualSpacing w:val="0"/>
        <w:rPr>
          <w:rFonts w:asciiTheme="minorHAnsi" w:hAnsiTheme="minorHAnsi" w:cstheme="minorHAnsi"/>
          <w:szCs w:val="24"/>
          <w:lang w:val="en-US"/>
        </w:rPr>
      </w:pPr>
      <w:r w:rsidRPr="00047465">
        <w:rPr>
          <w:rFonts w:asciiTheme="minorHAnsi" w:hAnsiTheme="minorHAnsi" w:cstheme="minorHAnsi"/>
          <w:szCs w:val="24"/>
          <w:lang w:val="en-US"/>
        </w:rPr>
        <w:t>support and facilitate this development towards a European hydrogen supply system</w:t>
      </w:r>
    </w:p>
    <w:p w14:paraId="0903AC58" w14:textId="343EC59B" w:rsidR="003815C1" w:rsidRPr="00047465" w:rsidRDefault="00047465" w:rsidP="00047465">
      <w:pPr>
        <w:pStyle w:val="Listenabsatz"/>
        <w:numPr>
          <w:ilvl w:val="0"/>
          <w:numId w:val="39"/>
        </w:numPr>
        <w:ind w:left="284" w:hanging="284"/>
        <w:contextualSpacing w:val="0"/>
        <w:rPr>
          <w:rFonts w:asciiTheme="minorHAnsi" w:hAnsiTheme="minorHAnsi" w:cstheme="minorHAnsi"/>
          <w:szCs w:val="24"/>
          <w:lang w:val="en-US"/>
        </w:rPr>
      </w:pPr>
      <w:r w:rsidRPr="00047465">
        <w:rPr>
          <w:rFonts w:asciiTheme="minorHAnsi" w:hAnsiTheme="minorHAnsi" w:cstheme="minorHAnsi"/>
          <w:szCs w:val="24"/>
          <w:lang w:val="en-US"/>
        </w:rPr>
        <w:lastRenderedPageBreak/>
        <w:t>define clear</w:t>
      </w:r>
      <w:r w:rsidR="003815C1" w:rsidRPr="00047465">
        <w:rPr>
          <w:rFonts w:asciiTheme="minorHAnsi" w:hAnsiTheme="minorHAnsi" w:cstheme="minorHAnsi"/>
          <w:szCs w:val="24"/>
          <w:lang w:val="en-US"/>
        </w:rPr>
        <w:t xml:space="preserve"> roles, tasks and obligations for designated TSO’s and DSO’s and for supervision in order to legally protect network users</w:t>
      </w:r>
      <w:r w:rsidR="00A942A7" w:rsidRPr="00047465">
        <w:rPr>
          <w:rFonts w:asciiTheme="minorHAnsi" w:hAnsiTheme="minorHAnsi" w:cstheme="minorHAnsi"/>
          <w:szCs w:val="24"/>
          <w:lang w:val="en-US"/>
        </w:rPr>
        <w:t xml:space="preserve"> and allow for non-discriminatory third-party access</w:t>
      </w:r>
    </w:p>
    <w:p w14:paraId="45A7DBC0" w14:textId="77777777" w:rsidR="00047465" w:rsidRPr="00047465" w:rsidRDefault="00047465" w:rsidP="00047465">
      <w:pPr>
        <w:pStyle w:val="Listenabsatz"/>
        <w:numPr>
          <w:ilvl w:val="0"/>
          <w:numId w:val="39"/>
        </w:numPr>
        <w:ind w:left="284" w:hanging="284"/>
        <w:contextualSpacing w:val="0"/>
        <w:rPr>
          <w:rFonts w:asciiTheme="minorHAnsi" w:hAnsiTheme="minorHAnsi" w:cstheme="minorHAnsi"/>
          <w:szCs w:val="24"/>
          <w:lang w:val="en-US"/>
        </w:rPr>
      </w:pPr>
      <w:r w:rsidRPr="00047465">
        <w:rPr>
          <w:rFonts w:asciiTheme="minorHAnsi" w:hAnsiTheme="minorHAnsi" w:cstheme="minorHAnsi"/>
          <w:szCs w:val="24"/>
          <w:lang w:val="en-US"/>
        </w:rPr>
        <w:t>w</w:t>
      </w:r>
      <w:r w:rsidR="003815C1" w:rsidRPr="00047465">
        <w:rPr>
          <w:rFonts w:asciiTheme="minorHAnsi" w:hAnsiTheme="minorHAnsi" w:cstheme="minorHAnsi"/>
          <w:szCs w:val="24"/>
          <w:lang w:val="en-US"/>
        </w:rPr>
        <w:t>here relevant and possible, implement regulation that exists for natural gas and electricity</w:t>
      </w:r>
    </w:p>
    <w:p w14:paraId="6CF76164" w14:textId="53A6328F" w:rsidR="003815C1" w:rsidRPr="00312347" w:rsidRDefault="003815C1" w:rsidP="00047465">
      <w:pPr>
        <w:pStyle w:val="Listenabsatz"/>
        <w:numPr>
          <w:ilvl w:val="0"/>
          <w:numId w:val="39"/>
        </w:numPr>
        <w:ind w:left="284" w:hanging="284"/>
        <w:contextualSpacing w:val="0"/>
        <w:rPr>
          <w:rFonts w:asciiTheme="minorHAnsi" w:hAnsiTheme="minorHAnsi" w:cstheme="minorHAnsi"/>
          <w:szCs w:val="24"/>
          <w:lang w:val="en-US"/>
        </w:rPr>
      </w:pPr>
      <w:r w:rsidRPr="00312347">
        <w:rPr>
          <w:rFonts w:asciiTheme="minorHAnsi" w:hAnsiTheme="minorHAnsi" w:cstheme="minorHAnsi"/>
          <w:szCs w:val="24"/>
          <w:lang w:val="en-US"/>
        </w:rPr>
        <w:t>where effective and efficient, reuse natural gas infrastructure: pipelines, gas storages, import facilities</w:t>
      </w:r>
    </w:p>
    <w:p w14:paraId="35DE7691" w14:textId="77777777" w:rsidR="00047465" w:rsidRDefault="00047465" w:rsidP="00047465">
      <w:pPr>
        <w:pStyle w:val="Listenabsatz"/>
        <w:numPr>
          <w:ilvl w:val="0"/>
          <w:numId w:val="39"/>
        </w:numPr>
        <w:ind w:left="284" w:hanging="284"/>
        <w:contextualSpacing w:val="0"/>
        <w:rPr>
          <w:rFonts w:asciiTheme="minorHAnsi" w:hAnsiTheme="minorHAnsi" w:cstheme="minorHAnsi"/>
          <w:szCs w:val="24"/>
          <w:lang w:val="en-US"/>
        </w:rPr>
      </w:pPr>
      <w:r>
        <w:rPr>
          <w:rFonts w:asciiTheme="minorHAnsi" w:hAnsiTheme="minorHAnsi" w:cstheme="minorHAnsi"/>
          <w:szCs w:val="24"/>
          <w:lang w:val="en-US"/>
        </w:rPr>
        <w:t>e</w:t>
      </w:r>
      <w:r w:rsidR="003815C1" w:rsidRPr="00312347">
        <w:rPr>
          <w:rFonts w:asciiTheme="minorHAnsi" w:hAnsiTheme="minorHAnsi" w:cstheme="minorHAnsi"/>
          <w:szCs w:val="24"/>
          <w:lang w:val="en-US"/>
        </w:rPr>
        <w:t>xamine and stimulate the development of a reliable and affordable storage of molecules: hydrogen, ammonia, toluene, methanol, and formic acid as energy carriers</w:t>
      </w:r>
    </w:p>
    <w:p w14:paraId="696026B9" w14:textId="28F00077" w:rsidR="003815C1" w:rsidRPr="00312347" w:rsidRDefault="00837409" w:rsidP="00047465">
      <w:pPr>
        <w:pStyle w:val="Listenabsatz"/>
        <w:numPr>
          <w:ilvl w:val="0"/>
          <w:numId w:val="39"/>
        </w:numPr>
        <w:ind w:left="284" w:hanging="284"/>
        <w:contextualSpacing w:val="0"/>
        <w:rPr>
          <w:rFonts w:asciiTheme="minorHAnsi" w:hAnsiTheme="minorHAnsi" w:cstheme="minorHAnsi"/>
          <w:szCs w:val="24"/>
          <w:lang w:val="en-US"/>
        </w:rPr>
      </w:pPr>
      <w:r>
        <w:rPr>
          <w:rFonts w:asciiTheme="minorHAnsi" w:hAnsiTheme="minorHAnsi" w:cstheme="minorHAnsi"/>
          <w:szCs w:val="24"/>
          <w:lang w:val="en-US"/>
        </w:rPr>
        <w:t>d</w:t>
      </w:r>
      <w:r w:rsidRPr="00312347">
        <w:rPr>
          <w:rFonts w:asciiTheme="minorHAnsi" w:hAnsiTheme="minorHAnsi" w:cstheme="minorHAnsi"/>
          <w:szCs w:val="24"/>
          <w:lang w:val="en-US"/>
        </w:rPr>
        <w:t xml:space="preserve">evelop </w:t>
      </w:r>
      <w:r w:rsidR="003815C1" w:rsidRPr="00312347">
        <w:rPr>
          <w:rFonts w:asciiTheme="minorHAnsi" w:hAnsiTheme="minorHAnsi" w:cstheme="minorHAnsi"/>
          <w:szCs w:val="24"/>
          <w:lang w:val="en-US"/>
        </w:rPr>
        <w:t>interconnectivity and interoperability with standards for hydrogen quality, pressure, balancing systems, cost allocation and material use</w:t>
      </w:r>
    </w:p>
    <w:p w14:paraId="28BA688A" w14:textId="77777777" w:rsidR="003815C1" w:rsidRPr="00312347" w:rsidRDefault="003815C1" w:rsidP="003815C1">
      <w:pPr>
        <w:pStyle w:val="Listenabsatz"/>
        <w:ind w:left="0"/>
        <w:rPr>
          <w:rFonts w:asciiTheme="minorHAnsi" w:hAnsiTheme="minorHAnsi" w:cstheme="minorHAnsi"/>
          <w:szCs w:val="24"/>
          <w:lang w:val="en-US"/>
        </w:rPr>
      </w:pPr>
    </w:p>
    <w:p w14:paraId="12494E1A" w14:textId="77777777" w:rsidR="003815C1" w:rsidRPr="00312347" w:rsidRDefault="003815C1" w:rsidP="003815C1">
      <w:pPr>
        <w:pStyle w:val="Listenabsatz"/>
        <w:ind w:left="0"/>
        <w:rPr>
          <w:rFonts w:asciiTheme="minorHAnsi" w:hAnsiTheme="minorHAnsi" w:cstheme="minorHAnsi"/>
          <w:szCs w:val="24"/>
          <w:lang w:val="en-US"/>
        </w:rPr>
      </w:pPr>
      <w:r w:rsidRPr="00312347">
        <w:rPr>
          <w:rFonts w:asciiTheme="minorHAnsi" w:hAnsiTheme="minorHAnsi" w:cstheme="minorHAnsi"/>
          <w:szCs w:val="24"/>
          <w:lang w:val="en-US"/>
        </w:rPr>
        <w:t>Where regulatory barriers exist, regulation should be adjusted or even removed:</w:t>
      </w:r>
    </w:p>
    <w:p w14:paraId="2145F85D" w14:textId="574BBAF6" w:rsidR="003815C1" w:rsidRPr="00312347" w:rsidRDefault="003815C1" w:rsidP="00047465">
      <w:pPr>
        <w:pStyle w:val="Listenabsatz"/>
        <w:numPr>
          <w:ilvl w:val="0"/>
          <w:numId w:val="39"/>
        </w:numPr>
        <w:ind w:left="284" w:hanging="284"/>
        <w:contextualSpacing w:val="0"/>
        <w:rPr>
          <w:rFonts w:asciiTheme="minorHAnsi" w:hAnsiTheme="minorHAnsi" w:cstheme="minorHAnsi"/>
          <w:szCs w:val="24"/>
          <w:lang w:val="en-US"/>
        </w:rPr>
      </w:pPr>
      <w:r w:rsidRPr="00312347">
        <w:rPr>
          <w:rFonts w:asciiTheme="minorHAnsi" w:hAnsiTheme="minorHAnsi" w:cstheme="minorHAnsi"/>
          <w:szCs w:val="24"/>
          <w:lang w:val="en-US"/>
        </w:rPr>
        <w:t>An objective and integral assessment of the total final energy demand (electricity and gas, and possibly other energy carriers e.g. heat and hydrogen). This should include an assessment of transition technologies that lead to further increase of the energy demand</w:t>
      </w:r>
      <w:r w:rsidR="00047465">
        <w:rPr>
          <w:rFonts w:asciiTheme="minorHAnsi" w:hAnsiTheme="minorHAnsi" w:cstheme="minorHAnsi"/>
          <w:szCs w:val="24"/>
          <w:lang w:val="en-US"/>
        </w:rPr>
        <w:t>.</w:t>
      </w:r>
    </w:p>
    <w:p w14:paraId="1455D51D" w14:textId="1DB2DBEA" w:rsidR="003815C1" w:rsidRPr="00837409" w:rsidRDefault="003815C1" w:rsidP="00047465">
      <w:pPr>
        <w:pStyle w:val="Listenabsatz"/>
        <w:numPr>
          <w:ilvl w:val="0"/>
          <w:numId w:val="39"/>
        </w:numPr>
        <w:ind w:left="284" w:hanging="284"/>
        <w:contextualSpacing w:val="0"/>
        <w:rPr>
          <w:rFonts w:asciiTheme="minorHAnsi" w:hAnsiTheme="minorHAnsi" w:cstheme="minorHAnsi"/>
          <w:szCs w:val="24"/>
          <w:lang w:val="en-US"/>
        </w:rPr>
      </w:pPr>
      <w:r w:rsidRPr="00312347">
        <w:rPr>
          <w:rFonts w:asciiTheme="minorHAnsi" w:hAnsiTheme="minorHAnsi" w:cstheme="minorHAnsi"/>
          <w:szCs w:val="24"/>
          <w:lang w:val="en-US"/>
        </w:rPr>
        <w:t xml:space="preserve">Energy efficiency is vital for a cost-efficient transition and to ensure availability of limited carbon neutral resources, but the regulation must not limit economic growth and lead to carbon leakage by industry moving out of Europe to regions with low or no </w:t>
      </w:r>
      <w:bookmarkStart w:id="4" w:name="_GoBack"/>
      <w:r w:rsidRPr="00312347">
        <w:rPr>
          <w:rFonts w:asciiTheme="minorHAnsi" w:hAnsiTheme="minorHAnsi" w:cstheme="minorHAnsi"/>
          <w:szCs w:val="24"/>
          <w:lang w:val="en-US"/>
        </w:rPr>
        <w:t>climate</w:t>
      </w:r>
      <w:bookmarkEnd w:id="4"/>
      <w:r w:rsidRPr="00312347">
        <w:rPr>
          <w:rFonts w:asciiTheme="minorHAnsi" w:hAnsiTheme="minorHAnsi" w:cstheme="minorHAnsi"/>
          <w:szCs w:val="24"/>
          <w:lang w:val="en-US"/>
        </w:rPr>
        <w:t xml:space="preserve"> policies.</w:t>
      </w:r>
      <w:r w:rsidR="005C0759">
        <w:rPr>
          <w:rFonts w:asciiTheme="minorHAnsi" w:hAnsiTheme="minorHAnsi" w:cstheme="minorHAnsi"/>
          <w:szCs w:val="24"/>
          <w:lang w:val="en-US"/>
        </w:rPr>
        <w:t xml:space="preserve"> </w:t>
      </w:r>
      <w:r w:rsidRPr="00312347">
        <w:rPr>
          <w:rFonts w:asciiTheme="minorHAnsi" w:hAnsiTheme="minorHAnsi" w:cstheme="minorHAnsi"/>
          <w:szCs w:val="24"/>
          <w:lang w:val="en-US"/>
        </w:rPr>
        <w:t>CCS and CCU regulatory barrier removal: removal of innovation hurdles regarding CCU and CCS in the Monitoring and Reporting Regulation, ETS and CCS Directive</w:t>
      </w:r>
      <w:r w:rsidRPr="00047465">
        <w:rPr>
          <w:rFonts w:asciiTheme="minorHAnsi" w:hAnsiTheme="minorHAnsi" w:cstheme="minorHAnsi"/>
          <w:szCs w:val="24"/>
          <w:lang w:val="en-US"/>
        </w:rPr>
        <w:t>.</w:t>
      </w:r>
    </w:p>
    <w:p w14:paraId="71AB6F0E" w14:textId="1A22455F" w:rsidR="00837409" w:rsidRPr="00312347" w:rsidRDefault="00837409" w:rsidP="00047465">
      <w:pPr>
        <w:pStyle w:val="Listenabsatz"/>
        <w:numPr>
          <w:ilvl w:val="0"/>
          <w:numId w:val="39"/>
        </w:numPr>
        <w:ind w:left="284" w:hanging="284"/>
        <w:contextualSpacing w:val="0"/>
        <w:rPr>
          <w:rFonts w:asciiTheme="minorHAnsi" w:hAnsiTheme="minorHAnsi" w:cstheme="minorHAnsi"/>
          <w:szCs w:val="24"/>
          <w:lang w:val="en-US"/>
        </w:rPr>
      </w:pPr>
      <w:r w:rsidRPr="00047465">
        <w:rPr>
          <w:rFonts w:asciiTheme="minorHAnsi" w:hAnsiTheme="minorHAnsi" w:cstheme="minorHAnsi"/>
          <w:szCs w:val="24"/>
          <w:lang w:val="en-US"/>
        </w:rPr>
        <w:t xml:space="preserve">Regarding energy taxation, the revived European Taxation Directive (ETD) should adequately promote the switch towards low carbon fuels, such as </w:t>
      </w:r>
      <w:r w:rsidR="00C66C05" w:rsidRPr="00047465">
        <w:rPr>
          <w:rFonts w:asciiTheme="minorHAnsi" w:hAnsiTheme="minorHAnsi" w:cstheme="minorHAnsi"/>
          <w:szCs w:val="24"/>
          <w:lang w:val="en-US"/>
        </w:rPr>
        <w:t>green and low carbon</w:t>
      </w:r>
      <w:r w:rsidRPr="00047465">
        <w:rPr>
          <w:rFonts w:asciiTheme="minorHAnsi" w:hAnsiTheme="minorHAnsi" w:cstheme="minorHAnsi"/>
          <w:szCs w:val="24"/>
          <w:lang w:val="en-US"/>
        </w:rPr>
        <w:t xml:space="preserve"> hydrogen, by setting exemptions for those energy carriers.</w:t>
      </w:r>
    </w:p>
    <w:p w14:paraId="3BDD7E65" w14:textId="77777777" w:rsidR="003815C1" w:rsidRPr="00312347" w:rsidRDefault="003815C1" w:rsidP="003815C1">
      <w:pPr>
        <w:ind w:left="360"/>
        <w:rPr>
          <w:rFonts w:asciiTheme="minorHAnsi" w:hAnsiTheme="minorHAnsi" w:cstheme="minorHAnsi"/>
          <w:lang w:val="en-US"/>
        </w:rPr>
      </w:pPr>
    </w:p>
    <w:p w14:paraId="1EF650DA" w14:textId="138B2CFB" w:rsidR="007605A5" w:rsidRPr="007605A5" w:rsidRDefault="007605A5" w:rsidP="00C66C05">
      <w:pPr>
        <w:rPr>
          <w:lang w:val="en-US"/>
        </w:rPr>
      </w:pPr>
    </w:p>
    <w:sectPr w:rsidR="007605A5" w:rsidRPr="007605A5" w:rsidSect="007D5D34">
      <w:pgSz w:w="11906" w:h="16838"/>
      <w:pgMar w:top="1560"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9ADF" w16cex:dateUtc="2020-09-17T06:20:00Z"/>
  <w16cex:commentExtensible w16cex:durableId="230D9B3B" w16cex:dateUtc="2020-09-17T06:22:00Z"/>
  <w16cex:commentExtensible w16cex:durableId="230D9C38" w16cex:dateUtc="2020-09-17T06:26:00Z"/>
  <w16cex:commentExtensible w16cex:durableId="230D9F1F" w16cex:dateUtc="2020-09-17T06:38:00Z"/>
  <w16cex:commentExtensible w16cex:durableId="230DA0BC" w16cex:dateUtc="2020-09-17T06:45:00Z"/>
  <w16cex:commentExtensible w16cex:durableId="230DB191" w16cex:dateUtc="2020-09-17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DA98A" w14:textId="77777777" w:rsidR="009C7536" w:rsidRDefault="009C7536" w:rsidP="003F6D85">
      <w:pPr>
        <w:spacing w:line="240" w:lineRule="auto"/>
      </w:pPr>
      <w:r>
        <w:separator/>
      </w:r>
    </w:p>
  </w:endnote>
  <w:endnote w:type="continuationSeparator" w:id="0">
    <w:p w14:paraId="56B5E34D" w14:textId="77777777" w:rsidR="009C7536" w:rsidRDefault="009C7536" w:rsidP="003F6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SanLig">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DAA5" w14:textId="77777777" w:rsidR="009C7536" w:rsidRDefault="009C7536" w:rsidP="003F6D85">
      <w:pPr>
        <w:spacing w:line="240" w:lineRule="auto"/>
      </w:pPr>
      <w:r>
        <w:separator/>
      </w:r>
    </w:p>
  </w:footnote>
  <w:footnote w:type="continuationSeparator" w:id="0">
    <w:p w14:paraId="6AA7D076" w14:textId="77777777" w:rsidR="009C7536" w:rsidRDefault="009C7536" w:rsidP="003F6D85">
      <w:pPr>
        <w:spacing w:line="240" w:lineRule="auto"/>
      </w:pPr>
      <w:r>
        <w:continuationSeparator/>
      </w:r>
    </w:p>
  </w:footnote>
  <w:footnote w:id="1">
    <w:p w14:paraId="0299B0C2" w14:textId="77777777" w:rsidR="003815C1" w:rsidRPr="00305F61" w:rsidRDefault="003815C1" w:rsidP="003815C1">
      <w:pPr>
        <w:pStyle w:val="Funotentext"/>
        <w:rPr>
          <w:lang w:val="en-US"/>
        </w:rPr>
      </w:pPr>
      <w:r>
        <w:rPr>
          <w:rStyle w:val="Funotenzeichen"/>
        </w:rPr>
        <w:footnoteRef/>
      </w:r>
      <w:r w:rsidRPr="00305F61">
        <w:rPr>
          <w:lang w:val="en-US"/>
        </w:rPr>
        <w:t xml:space="preserve"> EED: Energy Efficiency Directive</w:t>
      </w:r>
    </w:p>
  </w:footnote>
  <w:footnote w:id="2">
    <w:p w14:paraId="5D1EB726" w14:textId="1AFB1D6E" w:rsidR="003815C1" w:rsidRPr="00305F61" w:rsidRDefault="003815C1" w:rsidP="003815C1">
      <w:pPr>
        <w:pStyle w:val="Funotentext"/>
        <w:rPr>
          <w:lang w:val="en-US"/>
        </w:rPr>
      </w:pPr>
      <w:r>
        <w:rPr>
          <w:rStyle w:val="Funotenzeichen"/>
        </w:rPr>
        <w:footnoteRef/>
      </w:r>
      <w:r w:rsidRPr="00305F61">
        <w:rPr>
          <w:lang w:val="en-US"/>
        </w:rPr>
        <w:t xml:space="preserve"> The electricity share will be 53% of the final energy demand. See: European Commission (2018): A Clean Planet for all, A European strategic long-term vision for a prosperous, modern, competitive and </w:t>
      </w:r>
      <w:r w:rsidR="00ED0498">
        <w:rPr>
          <w:lang w:val="en-US"/>
        </w:rPr>
        <w:t>carbon neutral</w:t>
      </w:r>
      <w:r w:rsidRPr="00305F61">
        <w:rPr>
          <w:lang w:val="en-US"/>
        </w:rPr>
        <w:t xml:space="preserve"> economy</w:t>
      </w:r>
      <w:r w:rsidR="008E39E9">
        <w:rPr>
          <w:lang w:val="en-US"/>
        </w:rPr>
        <w:t>.</w:t>
      </w:r>
    </w:p>
  </w:footnote>
  <w:footnote w:id="3">
    <w:p w14:paraId="7E65213E" w14:textId="77777777" w:rsidR="003815C1" w:rsidRPr="00305F61" w:rsidRDefault="003815C1" w:rsidP="003815C1">
      <w:pPr>
        <w:pStyle w:val="Funotentext"/>
        <w:rPr>
          <w:lang w:val="en-US"/>
        </w:rPr>
      </w:pPr>
      <w:r>
        <w:rPr>
          <w:rStyle w:val="Funotenzeichen"/>
        </w:rPr>
        <w:footnoteRef/>
      </w:r>
      <w:r w:rsidRPr="00305F61">
        <w:rPr>
          <w:lang w:val="en-US"/>
        </w:rPr>
        <w:t xml:space="preserve"> McKinsey foresees a multiplication of electricity needs for industry (from 2000 TWh for BAU to x4 to 9 times). The EC foresees an increase form 3000 TWh (EU-wide) to 4800 TWh in the electrification scenario. The 1.5-scenarios there only foresee an increase to 4000 TWh</w:t>
      </w:r>
    </w:p>
  </w:footnote>
  <w:footnote w:id="4">
    <w:p w14:paraId="08B942B6" w14:textId="7DA11024" w:rsidR="003815C1" w:rsidRPr="00305F61" w:rsidRDefault="003815C1" w:rsidP="003815C1">
      <w:pPr>
        <w:pStyle w:val="Funotentext"/>
        <w:rPr>
          <w:lang w:val="en-US"/>
        </w:rPr>
      </w:pPr>
      <w:r>
        <w:rPr>
          <w:rStyle w:val="Funotenzeichen"/>
        </w:rPr>
        <w:footnoteRef/>
      </w:r>
      <w:r w:rsidRPr="00305F61">
        <w:rPr>
          <w:lang w:val="en-US"/>
        </w:rPr>
        <w:t xml:space="preserve"> Dechema (2017)</w:t>
      </w:r>
      <w:r w:rsidR="008E39E9">
        <w:rPr>
          <w:lang w:val="en-US"/>
        </w:rPr>
        <w:t>:</w:t>
      </w:r>
      <w:r w:rsidRPr="00305F61">
        <w:rPr>
          <w:lang w:val="en-US"/>
        </w:rPr>
        <w:t xml:space="preserve"> Technology Study: Low carbon energy and feedstock for the European chemical industry.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700B"/>
    <w:multiLevelType w:val="hybridMultilevel"/>
    <w:tmpl w:val="502ADD32"/>
    <w:lvl w:ilvl="0" w:tplc="0413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82B82"/>
    <w:multiLevelType w:val="hybridMultilevel"/>
    <w:tmpl w:val="3E48DCFA"/>
    <w:lvl w:ilvl="0" w:tplc="F3BC104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4DD1D23"/>
    <w:multiLevelType w:val="hybridMultilevel"/>
    <w:tmpl w:val="DA4C43FC"/>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75C5BDD"/>
    <w:multiLevelType w:val="hybridMultilevel"/>
    <w:tmpl w:val="FCD62B66"/>
    <w:lvl w:ilvl="0" w:tplc="FAA65840">
      <w:numFmt w:val="bullet"/>
      <w:lvlText w:val="-"/>
      <w:lvlJc w:val="left"/>
      <w:pPr>
        <w:ind w:left="360" w:hanging="360"/>
      </w:pPr>
      <w:rPr>
        <w:rFonts w:ascii="Arial" w:eastAsia="Times"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86041A1"/>
    <w:multiLevelType w:val="hybridMultilevel"/>
    <w:tmpl w:val="62B2A536"/>
    <w:lvl w:ilvl="0" w:tplc="04130015">
      <w:start w:val="1"/>
      <w:numFmt w:val="upperLetter"/>
      <w:lvlText w:val="%1."/>
      <w:lvlJc w:val="left"/>
      <w:pPr>
        <w:ind w:left="1065" w:hanging="360"/>
      </w:pPr>
      <w:rPr>
        <w:rFonts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25002D29"/>
    <w:multiLevelType w:val="hybridMultilevel"/>
    <w:tmpl w:val="4EA2071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2E51D1"/>
    <w:multiLevelType w:val="hybridMultilevel"/>
    <w:tmpl w:val="0A0CDA5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E3EA7"/>
    <w:multiLevelType w:val="hybridMultilevel"/>
    <w:tmpl w:val="B7023E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073734E"/>
    <w:multiLevelType w:val="hybridMultilevel"/>
    <w:tmpl w:val="557861A8"/>
    <w:lvl w:ilvl="0" w:tplc="F2CE5CE8">
      <w:start w:val="3"/>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2D7289A"/>
    <w:multiLevelType w:val="hybridMultilevel"/>
    <w:tmpl w:val="FE1AC00E"/>
    <w:lvl w:ilvl="0" w:tplc="04130015">
      <w:start w:val="1"/>
      <w:numFmt w:val="upperLetter"/>
      <w:lvlText w:val="%1."/>
      <w:lvlJc w:val="left"/>
      <w:pPr>
        <w:ind w:left="1065" w:hanging="360"/>
      </w:pPr>
      <w:rPr>
        <w:rFonts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33852AE1"/>
    <w:multiLevelType w:val="hybridMultilevel"/>
    <w:tmpl w:val="47F0264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91508A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4E64B4"/>
    <w:multiLevelType w:val="hybridMultilevel"/>
    <w:tmpl w:val="2A4E5040"/>
    <w:lvl w:ilvl="0" w:tplc="F9B4064A">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D77F4A"/>
    <w:multiLevelType w:val="hybridMultilevel"/>
    <w:tmpl w:val="42A4E132"/>
    <w:lvl w:ilvl="0" w:tplc="F9B4064A">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2A7FF9"/>
    <w:multiLevelType w:val="hybridMultilevel"/>
    <w:tmpl w:val="F6BAC8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1A2CB9"/>
    <w:multiLevelType w:val="hybridMultilevel"/>
    <w:tmpl w:val="F59AD55E"/>
    <w:lvl w:ilvl="0" w:tplc="5A52686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83BF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1825E4"/>
    <w:multiLevelType w:val="hybridMultilevel"/>
    <w:tmpl w:val="039816C2"/>
    <w:lvl w:ilvl="0" w:tplc="EDA09866">
      <w:start w:val="1"/>
      <w:numFmt w:val="upperLetter"/>
      <w:lvlText w:val="%1."/>
      <w:lvlJc w:val="left"/>
      <w:pPr>
        <w:ind w:left="1065" w:hanging="360"/>
      </w:pPr>
      <w:rPr>
        <w:rFonts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FA23873"/>
    <w:multiLevelType w:val="hybridMultilevel"/>
    <w:tmpl w:val="FE1AC00E"/>
    <w:lvl w:ilvl="0" w:tplc="04130015">
      <w:start w:val="1"/>
      <w:numFmt w:val="upperLetter"/>
      <w:lvlText w:val="%1."/>
      <w:lvlJc w:val="left"/>
      <w:pPr>
        <w:ind w:left="1065" w:hanging="360"/>
      </w:pPr>
      <w:rPr>
        <w:rFonts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9" w15:restartNumberingAfterBreak="0">
    <w:nsid w:val="52001F8E"/>
    <w:multiLevelType w:val="hybridMultilevel"/>
    <w:tmpl w:val="0D327736"/>
    <w:lvl w:ilvl="0" w:tplc="69CC4EFC">
      <w:start w:val="1"/>
      <w:numFmt w:val="decimal"/>
      <w:lvlText w:val="%1."/>
      <w:lvlJc w:val="left"/>
      <w:pPr>
        <w:ind w:left="70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575783"/>
    <w:multiLevelType w:val="hybridMultilevel"/>
    <w:tmpl w:val="F5FA14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8A86CF3"/>
    <w:multiLevelType w:val="hybridMultilevel"/>
    <w:tmpl w:val="E7DC9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AF5FC6"/>
    <w:multiLevelType w:val="hybridMultilevel"/>
    <w:tmpl w:val="DCDA512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FC97015"/>
    <w:multiLevelType w:val="hybridMultilevel"/>
    <w:tmpl w:val="506803CC"/>
    <w:lvl w:ilvl="0" w:tplc="EA3CBC82">
      <w:start w:val="1"/>
      <w:numFmt w:val="decimal"/>
      <w:lvlText w:val="%1."/>
      <w:lvlJc w:val="left"/>
      <w:pPr>
        <w:ind w:left="360" w:hanging="360"/>
      </w:pPr>
      <w:rPr>
        <w:rFonts w:hint="default"/>
        <w:color w:val="3871C1"/>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FE76FBB"/>
    <w:multiLevelType w:val="hybridMultilevel"/>
    <w:tmpl w:val="60FE7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472E59"/>
    <w:multiLevelType w:val="hybridMultilevel"/>
    <w:tmpl w:val="707CB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BC1831"/>
    <w:multiLevelType w:val="hybridMultilevel"/>
    <w:tmpl w:val="A0CAD124"/>
    <w:lvl w:ilvl="0" w:tplc="0809000F">
      <w:start w:val="1"/>
      <w:numFmt w:val="decimal"/>
      <w:lvlText w:val="%1."/>
      <w:lvlJc w:val="left"/>
      <w:pPr>
        <w:ind w:left="360" w:hanging="360"/>
      </w:pPr>
      <w:rPr>
        <w:rFonts w:hint="default"/>
      </w:rPr>
    </w:lvl>
    <w:lvl w:ilvl="1" w:tplc="04130015">
      <w:start w:val="1"/>
      <w:numFmt w:val="upperLetter"/>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5053CD1"/>
    <w:multiLevelType w:val="hybridMultilevel"/>
    <w:tmpl w:val="0A0CDA5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E0138E"/>
    <w:multiLevelType w:val="multilevel"/>
    <w:tmpl w:val="BA388F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694F5262"/>
    <w:multiLevelType w:val="hybridMultilevel"/>
    <w:tmpl w:val="CDDAB8F0"/>
    <w:lvl w:ilvl="0" w:tplc="04130015">
      <w:start w:val="1"/>
      <w:numFmt w:val="upperLetter"/>
      <w:lvlText w:val="%1."/>
      <w:lvlJc w:val="left"/>
      <w:pPr>
        <w:ind w:left="1065" w:hanging="360"/>
      </w:pPr>
      <w:rPr>
        <w:rFonts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0" w15:restartNumberingAfterBreak="0">
    <w:nsid w:val="69F535D9"/>
    <w:multiLevelType w:val="hybridMultilevel"/>
    <w:tmpl w:val="084ED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F21BA6"/>
    <w:multiLevelType w:val="hybridMultilevel"/>
    <w:tmpl w:val="E3DAADE0"/>
    <w:lvl w:ilvl="0" w:tplc="51B86A34">
      <w:start w:val="4"/>
      <w:numFmt w:val="upperLetter"/>
      <w:lvlText w:val="%1."/>
      <w:lvlJc w:val="left"/>
      <w:pPr>
        <w:ind w:left="10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3D46B9"/>
    <w:multiLevelType w:val="multilevel"/>
    <w:tmpl w:val="BA388F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6F7D5D58"/>
    <w:multiLevelType w:val="hybridMultilevel"/>
    <w:tmpl w:val="06CE86E0"/>
    <w:lvl w:ilvl="0" w:tplc="0809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A25794"/>
    <w:multiLevelType w:val="hybridMultilevel"/>
    <w:tmpl w:val="24BED878"/>
    <w:lvl w:ilvl="0" w:tplc="04130015">
      <w:start w:val="1"/>
      <w:numFmt w:val="upperLetter"/>
      <w:lvlText w:val="%1."/>
      <w:lvlJc w:val="left"/>
      <w:pPr>
        <w:ind w:left="1065" w:hanging="360"/>
      </w:pPr>
      <w:rPr>
        <w:rFonts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5" w15:restartNumberingAfterBreak="0">
    <w:nsid w:val="714F37FD"/>
    <w:multiLevelType w:val="hybridMultilevel"/>
    <w:tmpl w:val="25F47124"/>
    <w:lvl w:ilvl="0" w:tplc="0BC4AF34">
      <w:start w:val="2"/>
      <w:numFmt w:val="decimal"/>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4B7C47"/>
    <w:multiLevelType w:val="hybridMultilevel"/>
    <w:tmpl w:val="635AF2A8"/>
    <w:lvl w:ilvl="0" w:tplc="19042C9A">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1D6C36"/>
    <w:multiLevelType w:val="hybridMultilevel"/>
    <w:tmpl w:val="5B16D26C"/>
    <w:lvl w:ilvl="0" w:tplc="0809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7ED7FD9"/>
    <w:multiLevelType w:val="hybridMultilevel"/>
    <w:tmpl w:val="9EDE4A0A"/>
    <w:lvl w:ilvl="0" w:tplc="04130001">
      <w:start w:val="1"/>
      <w:numFmt w:val="bullet"/>
      <w:lvlText w:val=""/>
      <w:lvlJc w:val="left"/>
      <w:pPr>
        <w:ind w:left="1770" w:hanging="360"/>
      </w:pPr>
      <w:rPr>
        <w:rFonts w:ascii="Symbol" w:hAnsi="Symbol"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39" w15:restartNumberingAfterBreak="0">
    <w:nsid w:val="79D373B7"/>
    <w:multiLevelType w:val="hybridMultilevel"/>
    <w:tmpl w:val="1854D598"/>
    <w:lvl w:ilvl="0" w:tplc="38101DBA">
      <w:start w:val="1"/>
      <w:numFmt w:val="upperLetter"/>
      <w:lvlText w:val="%1."/>
      <w:lvlJc w:val="left"/>
      <w:pPr>
        <w:ind w:left="10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CA7A05"/>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AE73E5D"/>
    <w:multiLevelType w:val="hybridMultilevel"/>
    <w:tmpl w:val="5BB6EC04"/>
    <w:lvl w:ilvl="0" w:tplc="08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E696117"/>
    <w:multiLevelType w:val="hybridMultilevel"/>
    <w:tmpl w:val="EA846710"/>
    <w:lvl w:ilvl="0" w:tplc="95846082">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F8311F3"/>
    <w:multiLevelType w:val="hybridMultilevel"/>
    <w:tmpl w:val="7ED41220"/>
    <w:lvl w:ilvl="0" w:tplc="F5AEB8DA">
      <w:start w:val="1"/>
      <w:numFmt w:val="upperLetter"/>
      <w:lvlText w:val="%1."/>
      <w:lvlJc w:val="left"/>
      <w:pPr>
        <w:ind w:left="10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3"/>
  </w:num>
  <w:num w:numId="3">
    <w:abstractNumId w:val="19"/>
  </w:num>
  <w:num w:numId="4">
    <w:abstractNumId w:val="25"/>
  </w:num>
  <w:num w:numId="5">
    <w:abstractNumId w:val="30"/>
  </w:num>
  <w:num w:numId="6">
    <w:abstractNumId w:val="6"/>
  </w:num>
  <w:num w:numId="7">
    <w:abstractNumId w:val="5"/>
  </w:num>
  <w:num w:numId="8">
    <w:abstractNumId w:val="1"/>
  </w:num>
  <w:num w:numId="9">
    <w:abstractNumId w:val="22"/>
  </w:num>
  <w:num w:numId="10">
    <w:abstractNumId w:val="12"/>
  </w:num>
  <w:num w:numId="11">
    <w:abstractNumId w:val="13"/>
  </w:num>
  <w:num w:numId="12">
    <w:abstractNumId w:val="36"/>
  </w:num>
  <w:num w:numId="13">
    <w:abstractNumId w:val="42"/>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1"/>
  </w:num>
  <w:num w:numId="17">
    <w:abstractNumId w:val="14"/>
  </w:num>
  <w:num w:numId="18">
    <w:abstractNumId w:val="38"/>
  </w:num>
  <w:num w:numId="19">
    <w:abstractNumId w:val="27"/>
  </w:num>
  <w:num w:numId="20">
    <w:abstractNumId w:val="24"/>
  </w:num>
  <w:num w:numId="21">
    <w:abstractNumId w:val="2"/>
  </w:num>
  <w:num w:numId="22">
    <w:abstractNumId w:val="23"/>
  </w:num>
  <w:num w:numId="23">
    <w:abstractNumId w:val="41"/>
  </w:num>
  <w:num w:numId="24">
    <w:abstractNumId w:val="37"/>
  </w:num>
  <w:num w:numId="25">
    <w:abstractNumId w:val="17"/>
  </w:num>
  <w:num w:numId="26">
    <w:abstractNumId w:val="0"/>
  </w:num>
  <w:num w:numId="27">
    <w:abstractNumId w:val="34"/>
  </w:num>
  <w:num w:numId="28">
    <w:abstractNumId w:val="26"/>
  </w:num>
  <w:num w:numId="29">
    <w:abstractNumId w:val="29"/>
  </w:num>
  <w:num w:numId="30">
    <w:abstractNumId w:val="35"/>
  </w:num>
  <w:num w:numId="31">
    <w:abstractNumId w:val="15"/>
  </w:num>
  <w:num w:numId="32">
    <w:abstractNumId w:val="4"/>
  </w:num>
  <w:num w:numId="33">
    <w:abstractNumId w:val="39"/>
  </w:num>
  <w:num w:numId="34">
    <w:abstractNumId w:val="9"/>
  </w:num>
  <w:num w:numId="35">
    <w:abstractNumId w:val="18"/>
  </w:num>
  <w:num w:numId="36">
    <w:abstractNumId w:val="43"/>
  </w:num>
  <w:num w:numId="37">
    <w:abstractNumId w:val="31"/>
  </w:num>
  <w:num w:numId="38">
    <w:abstractNumId w:val="32"/>
  </w:num>
  <w:num w:numId="39">
    <w:abstractNumId w:val="3"/>
  </w:num>
  <w:num w:numId="40">
    <w:abstractNumId w:val="11"/>
  </w:num>
  <w:num w:numId="41">
    <w:abstractNumId w:val="10"/>
  </w:num>
  <w:num w:numId="42">
    <w:abstractNumId w:val="7"/>
  </w:num>
  <w:num w:numId="43">
    <w:abstractNumId w:val="16"/>
  </w:num>
  <w:num w:numId="4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85"/>
    <w:rsid w:val="00001287"/>
    <w:rsid w:val="00001A6D"/>
    <w:rsid w:val="0000270F"/>
    <w:rsid w:val="0000327F"/>
    <w:rsid w:val="000042DB"/>
    <w:rsid w:val="000131C7"/>
    <w:rsid w:val="0001420F"/>
    <w:rsid w:val="00016A40"/>
    <w:rsid w:val="00017B92"/>
    <w:rsid w:val="00025FEE"/>
    <w:rsid w:val="00026C66"/>
    <w:rsid w:val="0002798E"/>
    <w:rsid w:val="00030291"/>
    <w:rsid w:val="00030E11"/>
    <w:rsid w:val="000311B0"/>
    <w:rsid w:val="000316C2"/>
    <w:rsid w:val="00031876"/>
    <w:rsid w:val="00031AFA"/>
    <w:rsid w:val="00031FE4"/>
    <w:rsid w:val="00032A87"/>
    <w:rsid w:val="00033156"/>
    <w:rsid w:val="0003362F"/>
    <w:rsid w:val="00033B45"/>
    <w:rsid w:val="00036DF8"/>
    <w:rsid w:val="00037512"/>
    <w:rsid w:val="00037B6A"/>
    <w:rsid w:val="00037F2B"/>
    <w:rsid w:val="00047465"/>
    <w:rsid w:val="0005306A"/>
    <w:rsid w:val="00053242"/>
    <w:rsid w:val="000537A7"/>
    <w:rsid w:val="00053916"/>
    <w:rsid w:val="00053C60"/>
    <w:rsid w:val="00054216"/>
    <w:rsid w:val="00054E0A"/>
    <w:rsid w:val="00055AA3"/>
    <w:rsid w:val="00056093"/>
    <w:rsid w:val="00060433"/>
    <w:rsid w:val="000614DD"/>
    <w:rsid w:val="00061B02"/>
    <w:rsid w:val="00064A27"/>
    <w:rsid w:val="00067D6A"/>
    <w:rsid w:val="000722A8"/>
    <w:rsid w:val="0007270B"/>
    <w:rsid w:val="000729C6"/>
    <w:rsid w:val="00074E4F"/>
    <w:rsid w:val="000760EE"/>
    <w:rsid w:val="00080276"/>
    <w:rsid w:val="00080559"/>
    <w:rsid w:val="00081D75"/>
    <w:rsid w:val="0008207E"/>
    <w:rsid w:val="000830E6"/>
    <w:rsid w:val="00084E24"/>
    <w:rsid w:val="000863C7"/>
    <w:rsid w:val="00086E1C"/>
    <w:rsid w:val="000913AE"/>
    <w:rsid w:val="00092B58"/>
    <w:rsid w:val="00092F93"/>
    <w:rsid w:val="00094FCA"/>
    <w:rsid w:val="00095777"/>
    <w:rsid w:val="000A0292"/>
    <w:rsid w:val="000A4874"/>
    <w:rsid w:val="000A66A3"/>
    <w:rsid w:val="000A70AA"/>
    <w:rsid w:val="000B074A"/>
    <w:rsid w:val="000B0994"/>
    <w:rsid w:val="000B11E9"/>
    <w:rsid w:val="000B4BC6"/>
    <w:rsid w:val="000B5D11"/>
    <w:rsid w:val="000C2A2B"/>
    <w:rsid w:val="000C5A9C"/>
    <w:rsid w:val="000C5AFC"/>
    <w:rsid w:val="000C6E94"/>
    <w:rsid w:val="000C7747"/>
    <w:rsid w:val="000C7911"/>
    <w:rsid w:val="000D0C50"/>
    <w:rsid w:val="000D66AB"/>
    <w:rsid w:val="000D6DF2"/>
    <w:rsid w:val="000D7525"/>
    <w:rsid w:val="000E0D19"/>
    <w:rsid w:val="000E115A"/>
    <w:rsid w:val="000E1504"/>
    <w:rsid w:val="000E22C1"/>
    <w:rsid w:val="000E31EF"/>
    <w:rsid w:val="000E4041"/>
    <w:rsid w:val="000E4CAD"/>
    <w:rsid w:val="000F0FA5"/>
    <w:rsid w:val="000F1676"/>
    <w:rsid w:val="000F1EE7"/>
    <w:rsid w:val="000F229E"/>
    <w:rsid w:val="000F2A42"/>
    <w:rsid w:val="000F64B1"/>
    <w:rsid w:val="000F65B6"/>
    <w:rsid w:val="000F69B5"/>
    <w:rsid w:val="000F6F74"/>
    <w:rsid w:val="001008BF"/>
    <w:rsid w:val="00104C93"/>
    <w:rsid w:val="00105B63"/>
    <w:rsid w:val="001114C6"/>
    <w:rsid w:val="00113F4E"/>
    <w:rsid w:val="00114FAC"/>
    <w:rsid w:val="00120AE8"/>
    <w:rsid w:val="001233F5"/>
    <w:rsid w:val="00123F57"/>
    <w:rsid w:val="00127903"/>
    <w:rsid w:val="00131348"/>
    <w:rsid w:val="001317F4"/>
    <w:rsid w:val="00135FDC"/>
    <w:rsid w:val="00140B8E"/>
    <w:rsid w:val="00140EDB"/>
    <w:rsid w:val="00141D52"/>
    <w:rsid w:val="00142AFB"/>
    <w:rsid w:val="00142D39"/>
    <w:rsid w:val="00143C18"/>
    <w:rsid w:val="00144016"/>
    <w:rsid w:val="001445C2"/>
    <w:rsid w:val="00145EAB"/>
    <w:rsid w:val="00145F52"/>
    <w:rsid w:val="00152067"/>
    <w:rsid w:val="001520BE"/>
    <w:rsid w:val="001539CC"/>
    <w:rsid w:val="00157553"/>
    <w:rsid w:val="00157803"/>
    <w:rsid w:val="0016133F"/>
    <w:rsid w:val="0016392B"/>
    <w:rsid w:val="0016415A"/>
    <w:rsid w:val="00164D9F"/>
    <w:rsid w:val="00167776"/>
    <w:rsid w:val="00171094"/>
    <w:rsid w:val="00171DDE"/>
    <w:rsid w:val="001743FC"/>
    <w:rsid w:val="001816D0"/>
    <w:rsid w:val="00186148"/>
    <w:rsid w:val="0018631B"/>
    <w:rsid w:val="00190035"/>
    <w:rsid w:val="00190714"/>
    <w:rsid w:val="00190998"/>
    <w:rsid w:val="00191E42"/>
    <w:rsid w:val="00196CEE"/>
    <w:rsid w:val="001975EF"/>
    <w:rsid w:val="001A0766"/>
    <w:rsid w:val="001A2745"/>
    <w:rsid w:val="001A2E77"/>
    <w:rsid w:val="001A2F0B"/>
    <w:rsid w:val="001A37B3"/>
    <w:rsid w:val="001A7AE2"/>
    <w:rsid w:val="001B19DF"/>
    <w:rsid w:val="001B31FF"/>
    <w:rsid w:val="001B6332"/>
    <w:rsid w:val="001B7D15"/>
    <w:rsid w:val="001C088D"/>
    <w:rsid w:val="001C1282"/>
    <w:rsid w:val="001C4888"/>
    <w:rsid w:val="001C51D3"/>
    <w:rsid w:val="001C626E"/>
    <w:rsid w:val="001C636F"/>
    <w:rsid w:val="001D1895"/>
    <w:rsid w:val="001D5075"/>
    <w:rsid w:val="001E1370"/>
    <w:rsid w:val="001E1542"/>
    <w:rsid w:val="001E1710"/>
    <w:rsid w:val="001E22AE"/>
    <w:rsid w:val="001E301C"/>
    <w:rsid w:val="001F1879"/>
    <w:rsid w:val="001F22FF"/>
    <w:rsid w:val="001F2509"/>
    <w:rsid w:val="001F385C"/>
    <w:rsid w:val="001F433F"/>
    <w:rsid w:val="00200B63"/>
    <w:rsid w:val="0020577A"/>
    <w:rsid w:val="00207B0F"/>
    <w:rsid w:val="00210053"/>
    <w:rsid w:val="002100B4"/>
    <w:rsid w:val="00210657"/>
    <w:rsid w:val="00210AC1"/>
    <w:rsid w:val="00210C4C"/>
    <w:rsid w:val="00212A86"/>
    <w:rsid w:val="00213FCE"/>
    <w:rsid w:val="0021479D"/>
    <w:rsid w:val="00215261"/>
    <w:rsid w:val="00215DE2"/>
    <w:rsid w:val="0021628B"/>
    <w:rsid w:val="002168DE"/>
    <w:rsid w:val="00216DDD"/>
    <w:rsid w:val="002236C9"/>
    <w:rsid w:val="00227A02"/>
    <w:rsid w:val="00232237"/>
    <w:rsid w:val="00233623"/>
    <w:rsid w:val="00234168"/>
    <w:rsid w:val="00237573"/>
    <w:rsid w:val="002402B8"/>
    <w:rsid w:val="00241227"/>
    <w:rsid w:val="0024157A"/>
    <w:rsid w:val="00242037"/>
    <w:rsid w:val="00245A85"/>
    <w:rsid w:val="002520C8"/>
    <w:rsid w:val="00252598"/>
    <w:rsid w:val="002538CB"/>
    <w:rsid w:val="00256B43"/>
    <w:rsid w:val="002606A6"/>
    <w:rsid w:val="0026095C"/>
    <w:rsid w:val="002616E1"/>
    <w:rsid w:val="002653C6"/>
    <w:rsid w:val="00265EE1"/>
    <w:rsid w:val="0027043E"/>
    <w:rsid w:val="00270972"/>
    <w:rsid w:val="0027100E"/>
    <w:rsid w:val="00271B5C"/>
    <w:rsid w:val="00275130"/>
    <w:rsid w:val="00275FBE"/>
    <w:rsid w:val="00276038"/>
    <w:rsid w:val="00285D74"/>
    <w:rsid w:val="002862E3"/>
    <w:rsid w:val="00292997"/>
    <w:rsid w:val="00292B63"/>
    <w:rsid w:val="00292E35"/>
    <w:rsid w:val="002935DB"/>
    <w:rsid w:val="00294F24"/>
    <w:rsid w:val="0029646C"/>
    <w:rsid w:val="002A04E5"/>
    <w:rsid w:val="002A5091"/>
    <w:rsid w:val="002A561C"/>
    <w:rsid w:val="002A639F"/>
    <w:rsid w:val="002B0789"/>
    <w:rsid w:val="002B113F"/>
    <w:rsid w:val="002C1F4D"/>
    <w:rsid w:val="002C79D5"/>
    <w:rsid w:val="002C7D27"/>
    <w:rsid w:val="002D16D7"/>
    <w:rsid w:val="002D3048"/>
    <w:rsid w:val="002D4EF4"/>
    <w:rsid w:val="002D4FAD"/>
    <w:rsid w:val="002D587C"/>
    <w:rsid w:val="002D6E95"/>
    <w:rsid w:val="002D6F4E"/>
    <w:rsid w:val="002D70A8"/>
    <w:rsid w:val="002E0497"/>
    <w:rsid w:val="002E08A2"/>
    <w:rsid w:val="002E1E44"/>
    <w:rsid w:val="002E233B"/>
    <w:rsid w:val="002E729B"/>
    <w:rsid w:val="002F00AD"/>
    <w:rsid w:val="002F0AFE"/>
    <w:rsid w:val="002F1C1F"/>
    <w:rsid w:val="002F4201"/>
    <w:rsid w:val="002F772C"/>
    <w:rsid w:val="003024C8"/>
    <w:rsid w:val="00306023"/>
    <w:rsid w:val="0030680B"/>
    <w:rsid w:val="00307003"/>
    <w:rsid w:val="0030703F"/>
    <w:rsid w:val="00307102"/>
    <w:rsid w:val="00307369"/>
    <w:rsid w:val="00307541"/>
    <w:rsid w:val="00307909"/>
    <w:rsid w:val="003105F7"/>
    <w:rsid w:val="00310F5C"/>
    <w:rsid w:val="00312347"/>
    <w:rsid w:val="003155F7"/>
    <w:rsid w:val="00317CDB"/>
    <w:rsid w:val="003204B2"/>
    <w:rsid w:val="00322093"/>
    <w:rsid w:val="00322853"/>
    <w:rsid w:val="00325989"/>
    <w:rsid w:val="0032605A"/>
    <w:rsid w:val="0032678F"/>
    <w:rsid w:val="00327345"/>
    <w:rsid w:val="0033025D"/>
    <w:rsid w:val="00334ADA"/>
    <w:rsid w:val="003358FD"/>
    <w:rsid w:val="00336809"/>
    <w:rsid w:val="00336B4B"/>
    <w:rsid w:val="00341AAA"/>
    <w:rsid w:val="00343C46"/>
    <w:rsid w:val="00343F9A"/>
    <w:rsid w:val="003521EF"/>
    <w:rsid w:val="0035331C"/>
    <w:rsid w:val="00353D26"/>
    <w:rsid w:val="00354C53"/>
    <w:rsid w:val="003577F4"/>
    <w:rsid w:val="00361616"/>
    <w:rsid w:val="003663D6"/>
    <w:rsid w:val="003674D7"/>
    <w:rsid w:val="00367C99"/>
    <w:rsid w:val="00370235"/>
    <w:rsid w:val="003708A6"/>
    <w:rsid w:val="003709C7"/>
    <w:rsid w:val="00374031"/>
    <w:rsid w:val="003742CA"/>
    <w:rsid w:val="00375589"/>
    <w:rsid w:val="003758D3"/>
    <w:rsid w:val="00375BE1"/>
    <w:rsid w:val="00375E34"/>
    <w:rsid w:val="0037748D"/>
    <w:rsid w:val="00380C95"/>
    <w:rsid w:val="00380FA0"/>
    <w:rsid w:val="003815C1"/>
    <w:rsid w:val="003818FD"/>
    <w:rsid w:val="00382AEB"/>
    <w:rsid w:val="00382B02"/>
    <w:rsid w:val="0038405E"/>
    <w:rsid w:val="0038406D"/>
    <w:rsid w:val="0038498A"/>
    <w:rsid w:val="00386524"/>
    <w:rsid w:val="00392DA2"/>
    <w:rsid w:val="003937A1"/>
    <w:rsid w:val="0039477C"/>
    <w:rsid w:val="00394D76"/>
    <w:rsid w:val="003965A2"/>
    <w:rsid w:val="003A034E"/>
    <w:rsid w:val="003A0FA7"/>
    <w:rsid w:val="003A170F"/>
    <w:rsid w:val="003A303B"/>
    <w:rsid w:val="003A3B5D"/>
    <w:rsid w:val="003B0861"/>
    <w:rsid w:val="003B2391"/>
    <w:rsid w:val="003B2937"/>
    <w:rsid w:val="003B5BC3"/>
    <w:rsid w:val="003B6496"/>
    <w:rsid w:val="003C10D3"/>
    <w:rsid w:val="003C1F59"/>
    <w:rsid w:val="003C502A"/>
    <w:rsid w:val="003C50B6"/>
    <w:rsid w:val="003C6D5C"/>
    <w:rsid w:val="003C7739"/>
    <w:rsid w:val="003D274A"/>
    <w:rsid w:val="003D362F"/>
    <w:rsid w:val="003D4D34"/>
    <w:rsid w:val="003E094B"/>
    <w:rsid w:val="003E16AA"/>
    <w:rsid w:val="003E1B86"/>
    <w:rsid w:val="003E1DED"/>
    <w:rsid w:val="003E3727"/>
    <w:rsid w:val="003E430E"/>
    <w:rsid w:val="003F1532"/>
    <w:rsid w:val="003F3486"/>
    <w:rsid w:val="003F3AA9"/>
    <w:rsid w:val="003F4754"/>
    <w:rsid w:val="003F586E"/>
    <w:rsid w:val="003F6D85"/>
    <w:rsid w:val="003F70C5"/>
    <w:rsid w:val="004003EF"/>
    <w:rsid w:val="00400446"/>
    <w:rsid w:val="00405C80"/>
    <w:rsid w:val="004078E1"/>
    <w:rsid w:val="00407A62"/>
    <w:rsid w:val="00407B5F"/>
    <w:rsid w:val="0041052A"/>
    <w:rsid w:val="004130B1"/>
    <w:rsid w:val="004142B3"/>
    <w:rsid w:val="00414D85"/>
    <w:rsid w:val="004153BC"/>
    <w:rsid w:val="00415A25"/>
    <w:rsid w:val="0042189B"/>
    <w:rsid w:val="00422468"/>
    <w:rsid w:val="00422E39"/>
    <w:rsid w:val="004236BA"/>
    <w:rsid w:val="00424110"/>
    <w:rsid w:val="0042705D"/>
    <w:rsid w:val="00431A70"/>
    <w:rsid w:val="00432C87"/>
    <w:rsid w:val="004331E7"/>
    <w:rsid w:val="00433338"/>
    <w:rsid w:val="00433C5E"/>
    <w:rsid w:val="00433DAD"/>
    <w:rsid w:val="00435172"/>
    <w:rsid w:val="00437EB6"/>
    <w:rsid w:val="00440801"/>
    <w:rsid w:val="00440CE3"/>
    <w:rsid w:val="00442907"/>
    <w:rsid w:val="0044319C"/>
    <w:rsid w:val="0044362B"/>
    <w:rsid w:val="004451AD"/>
    <w:rsid w:val="00445A75"/>
    <w:rsid w:val="00451DC7"/>
    <w:rsid w:val="0045564B"/>
    <w:rsid w:val="00457D48"/>
    <w:rsid w:val="00460E2A"/>
    <w:rsid w:val="00463135"/>
    <w:rsid w:val="00463A96"/>
    <w:rsid w:val="00465DB8"/>
    <w:rsid w:val="004701AD"/>
    <w:rsid w:val="00470E8B"/>
    <w:rsid w:val="00472F4B"/>
    <w:rsid w:val="004751B1"/>
    <w:rsid w:val="00476A35"/>
    <w:rsid w:val="00477B08"/>
    <w:rsid w:val="00477EDA"/>
    <w:rsid w:val="00480180"/>
    <w:rsid w:val="00483E92"/>
    <w:rsid w:val="00484271"/>
    <w:rsid w:val="004842C0"/>
    <w:rsid w:val="004850EC"/>
    <w:rsid w:val="004873D8"/>
    <w:rsid w:val="004877D1"/>
    <w:rsid w:val="00487D58"/>
    <w:rsid w:val="0049070B"/>
    <w:rsid w:val="00492F2A"/>
    <w:rsid w:val="00494E93"/>
    <w:rsid w:val="00495447"/>
    <w:rsid w:val="00495E08"/>
    <w:rsid w:val="00496B1D"/>
    <w:rsid w:val="00497F94"/>
    <w:rsid w:val="004A14B9"/>
    <w:rsid w:val="004A1D87"/>
    <w:rsid w:val="004A1FC4"/>
    <w:rsid w:val="004B1A4D"/>
    <w:rsid w:val="004B4634"/>
    <w:rsid w:val="004B4DAD"/>
    <w:rsid w:val="004C3411"/>
    <w:rsid w:val="004C55A5"/>
    <w:rsid w:val="004C5ADB"/>
    <w:rsid w:val="004C6045"/>
    <w:rsid w:val="004C6521"/>
    <w:rsid w:val="004C74E2"/>
    <w:rsid w:val="004D06D2"/>
    <w:rsid w:val="004D0910"/>
    <w:rsid w:val="004D2040"/>
    <w:rsid w:val="004E0053"/>
    <w:rsid w:val="004E0A0E"/>
    <w:rsid w:val="004E145B"/>
    <w:rsid w:val="004E3301"/>
    <w:rsid w:val="004E5A4E"/>
    <w:rsid w:val="004E60E7"/>
    <w:rsid w:val="004E67A9"/>
    <w:rsid w:val="004F4020"/>
    <w:rsid w:val="004F4E26"/>
    <w:rsid w:val="004F64CA"/>
    <w:rsid w:val="004F7DE3"/>
    <w:rsid w:val="005037B0"/>
    <w:rsid w:val="00504453"/>
    <w:rsid w:val="00506FFE"/>
    <w:rsid w:val="00510948"/>
    <w:rsid w:val="00510B9F"/>
    <w:rsid w:val="00511502"/>
    <w:rsid w:val="00513481"/>
    <w:rsid w:val="005148C5"/>
    <w:rsid w:val="0051590A"/>
    <w:rsid w:val="00517753"/>
    <w:rsid w:val="00531F4F"/>
    <w:rsid w:val="00531FBE"/>
    <w:rsid w:val="005323D2"/>
    <w:rsid w:val="00532E1D"/>
    <w:rsid w:val="0053326E"/>
    <w:rsid w:val="00534F96"/>
    <w:rsid w:val="005405A6"/>
    <w:rsid w:val="005428AA"/>
    <w:rsid w:val="00542A9B"/>
    <w:rsid w:val="00543A41"/>
    <w:rsid w:val="00545A48"/>
    <w:rsid w:val="0054798F"/>
    <w:rsid w:val="00553355"/>
    <w:rsid w:val="005535CF"/>
    <w:rsid w:val="00556559"/>
    <w:rsid w:val="00561B4E"/>
    <w:rsid w:val="005640AE"/>
    <w:rsid w:val="00566842"/>
    <w:rsid w:val="005723FD"/>
    <w:rsid w:val="0058297F"/>
    <w:rsid w:val="00583B02"/>
    <w:rsid w:val="00584C67"/>
    <w:rsid w:val="00590AB2"/>
    <w:rsid w:val="0059126F"/>
    <w:rsid w:val="005936E0"/>
    <w:rsid w:val="0059404C"/>
    <w:rsid w:val="00594591"/>
    <w:rsid w:val="005945E1"/>
    <w:rsid w:val="00596380"/>
    <w:rsid w:val="00597D22"/>
    <w:rsid w:val="005A054A"/>
    <w:rsid w:val="005A1C01"/>
    <w:rsid w:val="005A439B"/>
    <w:rsid w:val="005A6031"/>
    <w:rsid w:val="005A76A2"/>
    <w:rsid w:val="005A7BE7"/>
    <w:rsid w:val="005B2E25"/>
    <w:rsid w:val="005B4A8C"/>
    <w:rsid w:val="005C0759"/>
    <w:rsid w:val="005C1D9F"/>
    <w:rsid w:val="005C23B1"/>
    <w:rsid w:val="005C2604"/>
    <w:rsid w:val="005C4FBA"/>
    <w:rsid w:val="005C75E4"/>
    <w:rsid w:val="005D00B5"/>
    <w:rsid w:val="005D0B77"/>
    <w:rsid w:val="005D6488"/>
    <w:rsid w:val="005E0772"/>
    <w:rsid w:val="005E1455"/>
    <w:rsid w:val="005E428F"/>
    <w:rsid w:val="005F1D04"/>
    <w:rsid w:val="005F2A26"/>
    <w:rsid w:val="005F307A"/>
    <w:rsid w:val="005F4DE9"/>
    <w:rsid w:val="005F5C9A"/>
    <w:rsid w:val="005F6CEF"/>
    <w:rsid w:val="0060001A"/>
    <w:rsid w:val="00600DF0"/>
    <w:rsid w:val="006013AD"/>
    <w:rsid w:val="00601C81"/>
    <w:rsid w:val="00604ADC"/>
    <w:rsid w:val="00604E9D"/>
    <w:rsid w:val="00605549"/>
    <w:rsid w:val="00605A33"/>
    <w:rsid w:val="00605E29"/>
    <w:rsid w:val="00606643"/>
    <w:rsid w:val="00607A1E"/>
    <w:rsid w:val="006103C9"/>
    <w:rsid w:val="00611CFA"/>
    <w:rsid w:val="00612185"/>
    <w:rsid w:val="0061737F"/>
    <w:rsid w:val="00620B13"/>
    <w:rsid w:val="00626195"/>
    <w:rsid w:val="00630325"/>
    <w:rsid w:val="00632250"/>
    <w:rsid w:val="00632ED0"/>
    <w:rsid w:val="00633E2C"/>
    <w:rsid w:val="00636081"/>
    <w:rsid w:val="0063733C"/>
    <w:rsid w:val="00640B39"/>
    <w:rsid w:val="00640BD4"/>
    <w:rsid w:val="006413BE"/>
    <w:rsid w:val="006448D2"/>
    <w:rsid w:val="006455F1"/>
    <w:rsid w:val="00645A82"/>
    <w:rsid w:val="00647DB3"/>
    <w:rsid w:val="00647E1A"/>
    <w:rsid w:val="00647F39"/>
    <w:rsid w:val="006505FF"/>
    <w:rsid w:val="0065090D"/>
    <w:rsid w:val="006523BA"/>
    <w:rsid w:val="0065488A"/>
    <w:rsid w:val="00654CB2"/>
    <w:rsid w:val="0065519F"/>
    <w:rsid w:val="0065568A"/>
    <w:rsid w:val="00657A48"/>
    <w:rsid w:val="00662357"/>
    <w:rsid w:val="00663ABB"/>
    <w:rsid w:val="00664F42"/>
    <w:rsid w:val="006655D0"/>
    <w:rsid w:val="006673A6"/>
    <w:rsid w:val="00670783"/>
    <w:rsid w:val="00670B5F"/>
    <w:rsid w:val="00670DE5"/>
    <w:rsid w:val="0067439F"/>
    <w:rsid w:val="00676B25"/>
    <w:rsid w:val="0068039A"/>
    <w:rsid w:val="00684197"/>
    <w:rsid w:val="00686DE7"/>
    <w:rsid w:val="00690E32"/>
    <w:rsid w:val="00690F6C"/>
    <w:rsid w:val="006947F3"/>
    <w:rsid w:val="00695D11"/>
    <w:rsid w:val="006968A1"/>
    <w:rsid w:val="00697927"/>
    <w:rsid w:val="006A1649"/>
    <w:rsid w:val="006A20C2"/>
    <w:rsid w:val="006A2D45"/>
    <w:rsid w:val="006A6CE2"/>
    <w:rsid w:val="006A76F2"/>
    <w:rsid w:val="006B1E9E"/>
    <w:rsid w:val="006B5B09"/>
    <w:rsid w:val="006B62BA"/>
    <w:rsid w:val="006B6FE3"/>
    <w:rsid w:val="006B798C"/>
    <w:rsid w:val="006C04CC"/>
    <w:rsid w:val="006C0F24"/>
    <w:rsid w:val="006C1899"/>
    <w:rsid w:val="006C4F97"/>
    <w:rsid w:val="006D0197"/>
    <w:rsid w:val="006D2067"/>
    <w:rsid w:val="006D3283"/>
    <w:rsid w:val="006D50D5"/>
    <w:rsid w:val="006D55D1"/>
    <w:rsid w:val="006D6DDE"/>
    <w:rsid w:val="006E0F02"/>
    <w:rsid w:val="006E2353"/>
    <w:rsid w:val="006E273F"/>
    <w:rsid w:val="006E4568"/>
    <w:rsid w:val="006E4DE0"/>
    <w:rsid w:val="006F395E"/>
    <w:rsid w:val="006F42E5"/>
    <w:rsid w:val="006F46FD"/>
    <w:rsid w:val="006F4B90"/>
    <w:rsid w:val="00700406"/>
    <w:rsid w:val="00700953"/>
    <w:rsid w:val="0070180E"/>
    <w:rsid w:val="00701C7B"/>
    <w:rsid w:val="0070511D"/>
    <w:rsid w:val="007059A8"/>
    <w:rsid w:val="007076C2"/>
    <w:rsid w:val="0071099D"/>
    <w:rsid w:val="00711C31"/>
    <w:rsid w:val="00712A57"/>
    <w:rsid w:val="00716309"/>
    <w:rsid w:val="0072019D"/>
    <w:rsid w:val="00721437"/>
    <w:rsid w:val="007233BB"/>
    <w:rsid w:val="00727661"/>
    <w:rsid w:val="007317C4"/>
    <w:rsid w:val="007330EB"/>
    <w:rsid w:val="00733EF2"/>
    <w:rsid w:val="007343F9"/>
    <w:rsid w:val="00735992"/>
    <w:rsid w:val="007379C7"/>
    <w:rsid w:val="00746504"/>
    <w:rsid w:val="00746566"/>
    <w:rsid w:val="00747D0A"/>
    <w:rsid w:val="0075075C"/>
    <w:rsid w:val="00752111"/>
    <w:rsid w:val="007543AB"/>
    <w:rsid w:val="0075489A"/>
    <w:rsid w:val="00755408"/>
    <w:rsid w:val="00756701"/>
    <w:rsid w:val="00757623"/>
    <w:rsid w:val="00760236"/>
    <w:rsid w:val="007605A5"/>
    <w:rsid w:val="007610F5"/>
    <w:rsid w:val="00762109"/>
    <w:rsid w:val="00762660"/>
    <w:rsid w:val="00763189"/>
    <w:rsid w:val="0076457B"/>
    <w:rsid w:val="00764803"/>
    <w:rsid w:val="00765948"/>
    <w:rsid w:val="00767E1F"/>
    <w:rsid w:val="007742CB"/>
    <w:rsid w:val="00781C2D"/>
    <w:rsid w:val="00782B31"/>
    <w:rsid w:val="00784094"/>
    <w:rsid w:val="00784B6D"/>
    <w:rsid w:val="00785F4B"/>
    <w:rsid w:val="00787A33"/>
    <w:rsid w:val="00791DBB"/>
    <w:rsid w:val="007945BF"/>
    <w:rsid w:val="0079565F"/>
    <w:rsid w:val="007A0A98"/>
    <w:rsid w:val="007A0DFE"/>
    <w:rsid w:val="007A2033"/>
    <w:rsid w:val="007A2CDF"/>
    <w:rsid w:val="007A32C6"/>
    <w:rsid w:val="007A46D3"/>
    <w:rsid w:val="007A651E"/>
    <w:rsid w:val="007B36B8"/>
    <w:rsid w:val="007B4BE9"/>
    <w:rsid w:val="007B4DD4"/>
    <w:rsid w:val="007B6D7D"/>
    <w:rsid w:val="007B7713"/>
    <w:rsid w:val="007C109C"/>
    <w:rsid w:val="007C2497"/>
    <w:rsid w:val="007C7487"/>
    <w:rsid w:val="007D1AB1"/>
    <w:rsid w:val="007D5813"/>
    <w:rsid w:val="007D5D34"/>
    <w:rsid w:val="007D66B8"/>
    <w:rsid w:val="007D6C2F"/>
    <w:rsid w:val="007E109C"/>
    <w:rsid w:val="007E3339"/>
    <w:rsid w:val="007E5978"/>
    <w:rsid w:val="007E737F"/>
    <w:rsid w:val="007E78A8"/>
    <w:rsid w:val="007F05F0"/>
    <w:rsid w:val="007F1ED2"/>
    <w:rsid w:val="007F4965"/>
    <w:rsid w:val="00801954"/>
    <w:rsid w:val="00806095"/>
    <w:rsid w:val="00806AF0"/>
    <w:rsid w:val="0080704E"/>
    <w:rsid w:val="008110E2"/>
    <w:rsid w:val="00813226"/>
    <w:rsid w:val="008132A0"/>
    <w:rsid w:val="00814735"/>
    <w:rsid w:val="00816D41"/>
    <w:rsid w:val="008170CD"/>
    <w:rsid w:val="0082025D"/>
    <w:rsid w:val="008202AD"/>
    <w:rsid w:val="00820C3D"/>
    <w:rsid w:val="00822804"/>
    <w:rsid w:val="00823040"/>
    <w:rsid w:val="008312D6"/>
    <w:rsid w:val="008318D4"/>
    <w:rsid w:val="00831C98"/>
    <w:rsid w:val="00834A2B"/>
    <w:rsid w:val="008355DB"/>
    <w:rsid w:val="008368CD"/>
    <w:rsid w:val="00837409"/>
    <w:rsid w:val="008378C3"/>
    <w:rsid w:val="00840061"/>
    <w:rsid w:val="008428D9"/>
    <w:rsid w:val="00846554"/>
    <w:rsid w:val="00847743"/>
    <w:rsid w:val="0084784C"/>
    <w:rsid w:val="00851657"/>
    <w:rsid w:val="00851C4B"/>
    <w:rsid w:val="00852418"/>
    <w:rsid w:val="008566F9"/>
    <w:rsid w:val="008570D9"/>
    <w:rsid w:val="00861AA5"/>
    <w:rsid w:val="0086416D"/>
    <w:rsid w:val="00865990"/>
    <w:rsid w:val="00870721"/>
    <w:rsid w:val="00870E23"/>
    <w:rsid w:val="00871DD2"/>
    <w:rsid w:val="00874E2B"/>
    <w:rsid w:val="00875EF9"/>
    <w:rsid w:val="008801F7"/>
    <w:rsid w:val="00883348"/>
    <w:rsid w:val="00885833"/>
    <w:rsid w:val="00885A83"/>
    <w:rsid w:val="00885ABD"/>
    <w:rsid w:val="00885F0D"/>
    <w:rsid w:val="00886788"/>
    <w:rsid w:val="00887DB4"/>
    <w:rsid w:val="0089368F"/>
    <w:rsid w:val="008947B2"/>
    <w:rsid w:val="008B30F8"/>
    <w:rsid w:val="008B38CA"/>
    <w:rsid w:val="008B417E"/>
    <w:rsid w:val="008B4B09"/>
    <w:rsid w:val="008B563A"/>
    <w:rsid w:val="008B6200"/>
    <w:rsid w:val="008B62A1"/>
    <w:rsid w:val="008B6975"/>
    <w:rsid w:val="008B70F2"/>
    <w:rsid w:val="008C0479"/>
    <w:rsid w:val="008C0C93"/>
    <w:rsid w:val="008C1F32"/>
    <w:rsid w:val="008C536E"/>
    <w:rsid w:val="008C5403"/>
    <w:rsid w:val="008C60F0"/>
    <w:rsid w:val="008D0E09"/>
    <w:rsid w:val="008D1BED"/>
    <w:rsid w:val="008D3FCD"/>
    <w:rsid w:val="008D427D"/>
    <w:rsid w:val="008E0C44"/>
    <w:rsid w:val="008E2664"/>
    <w:rsid w:val="008E39E9"/>
    <w:rsid w:val="008E4BF2"/>
    <w:rsid w:val="008E4E9E"/>
    <w:rsid w:val="008E6480"/>
    <w:rsid w:val="008E6CE8"/>
    <w:rsid w:val="008E6DA0"/>
    <w:rsid w:val="008F461B"/>
    <w:rsid w:val="008F5A7C"/>
    <w:rsid w:val="00900003"/>
    <w:rsid w:val="009050A0"/>
    <w:rsid w:val="009055BB"/>
    <w:rsid w:val="0090570E"/>
    <w:rsid w:val="009078A7"/>
    <w:rsid w:val="00907B12"/>
    <w:rsid w:val="00913C56"/>
    <w:rsid w:val="00914272"/>
    <w:rsid w:val="009142EB"/>
    <w:rsid w:val="00914DB2"/>
    <w:rsid w:val="00915C95"/>
    <w:rsid w:val="00915F93"/>
    <w:rsid w:val="009204B7"/>
    <w:rsid w:val="00920764"/>
    <w:rsid w:val="00925350"/>
    <w:rsid w:val="0092575C"/>
    <w:rsid w:val="009314C6"/>
    <w:rsid w:val="009317B6"/>
    <w:rsid w:val="009330E6"/>
    <w:rsid w:val="00933EAD"/>
    <w:rsid w:val="00934BC9"/>
    <w:rsid w:val="00935C53"/>
    <w:rsid w:val="009364DE"/>
    <w:rsid w:val="009369BF"/>
    <w:rsid w:val="009405A1"/>
    <w:rsid w:val="009440AC"/>
    <w:rsid w:val="00944337"/>
    <w:rsid w:val="00944465"/>
    <w:rsid w:val="009511FB"/>
    <w:rsid w:val="00955AEA"/>
    <w:rsid w:val="00956154"/>
    <w:rsid w:val="0095622E"/>
    <w:rsid w:val="00961088"/>
    <w:rsid w:val="00961996"/>
    <w:rsid w:val="00963246"/>
    <w:rsid w:val="009634F8"/>
    <w:rsid w:val="00966D42"/>
    <w:rsid w:val="00967444"/>
    <w:rsid w:val="00967641"/>
    <w:rsid w:val="0097025F"/>
    <w:rsid w:val="009705A0"/>
    <w:rsid w:val="00970AC8"/>
    <w:rsid w:val="00970D01"/>
    <w:rsid w:val="009712D1"/>
    <w:rsid w:val="00972078"/>
    <w:rsid w:val="00974826"/>
    <w:rsid w:val="00974C8B"/>
    <w:rsid w:val="00977962"/>
    <w:rsid w:val="00981EDA"/>
    <w:rsid w:val="0098687E"/>
    <w:rsid w:val="009873C4"/>
    <w:rsid w:val="00987733"/>
    <w:rsid w:val="0099033A"/>
    <w:rsid w:val="00990F9B"/>
    <w:rsid w:val="009910A1"/>
    <w:rsid w:val="0099132E"/>
    <w:rsid w:val="0099431E"/>
    <w:rsid w:val="00994A34"/>
    <w:rsid w:val="00997CB0"/>
    <w:rsid w:val="009A41CF"/>
    <w:rsid w:val="009A4AA2"/>
    <w:rsid w:val="009A523C"/>
    <w:rsid w:val="009A55F4"/>
    <w:rsid w:val="009A770F"/>
    <w:rsid w:val="009A7E44"/>
    <w:rsid w:val="009B1548"/>
    <w:rsid w:val="009B2627"/>
    <w:rsid w:val="009B2749"/>
    <w:rsid w:val="009B3594"/>
    <w:rsid w:val="009B5065"/>
    <w:rsid w:val="009B5D05"/>
    <w:rsid w:val="009B5E98"/>
    <w:rsid w:val="009B628A"/>
    <w:rsid w:val="009C329B"/>
    <w:rsid w:val="009C5390"/>
    <w:rsid w:val="009C7536"/>
    <w:rsid w:val="009D0FFB"/>
    <w:rsid w:val="009D56BA"/>
    <w:rsid w:val="009E5614"/>
    <w:rsid w:val="009E6691"/>
    <w:rsid w:val="009E7588"/>
    <w:rsid w:val="009E77BC"/>
    <w:rsid w:val="009F4085"/>
    <w:rsid w:val="009F4602"/>
    <w:rsid w:val="009F5D4D"/>
    <w:rsid w:val="009F677C"/>
    <w:rsid w:val="009F69F0"/>
    <w:rsid w:val="009F6D89"/>
    <w:rsid w:val="00A017E8"/>
    <w:rsid w:val="00A02DC7"/>
    <w:rsid w:val="00A030B8"/>
    <w:rsid w:val="00A058FA"/>
    <w:rsid w:val="00A07DCD"/>
    <w:rsid w:val="00A113E1"/>
    <w:rsid w:val="00A20093"/>
    <w:rsid w:val="00A26360"/>
    <w:rsid w:val="00A269CF"/>
    <w:rsid w:val="00A26A0F"/>
    <w:rsid w:val="00A30918"/>
    <w:rsid w:val="00A3091D"/>
    <w:rsid w:val="00A30FF0"/>
    <w:rsid w:val="00A32D0F"/>
    <w:rsid w:val="00A35B07"/>
    <w:rsid w:val="00A3623C"/>
    <w:rsid w:val="00A36B61"/>
    <w:rsid w:val="00A40043"/>
    <w:rsid w:val="00A40B04"/>
    <w:rsid w:val="00A41BA6"/>
    <w:rsid w:val="00A44012"/>
    <w:rsid w:val="00A450B5"/>
    <w:rsid w:val="00A46163"/>
    <w:rsid w:val="00A46C2F"/>
    <w:rsid w:val="00A4758C"/>
    <w:rsid w:val="00A47A28"/>
    <w:rsid w:val="00A47F54"/>
    <w:rsid w:val="00A50A6F"/>
    <w:rsid w:val="00A51F75"/>
    <w:rsid w:val="00A5478C"/>
    <w:rsid w:val="00A55089"/>
    <w:rsid w:val="00A55BFA"/>
    <w:rsid w:val="00A56DD6"/>
    <w:rsid w:val="00A57682"/>
    <w:rsid w:val="00A60077"/>
    <w:rsid w:val="00A625AF"/>
    <w:rsid w:val="00A655B9"/>
    <w:rsid w:val="00A71CCF"/>
    <w:rsid w:val="00A71FD8"/>
    <w:rsid w:val="00A7269B"/>
    <w:rsid w:val="00A72BFB"/>
    <w:rsid w:val="00A7637B"/>
    <w:rsid w:val="00A80065"/>
    <w:rsid w:val="00A80877"/>
    <w:rsid w:val="00A832E0"/>
    <w:rsid w:val="00A836B7"/>
    <w:rsid w:val="00A868EF"/>
    <w:rsid w:val="00A86A48"/>
    <w:rsid w:val="00A873B8"/>
    <w:rsid w:val="00A9053E"/>
    <w:rsid w:val="00A942A7"/>
    <w:rsid w:val="00A9583D"/>
    <w:rsid w:val="00AA260E"/>
    <w:rsid w:val="00AA26D5"/>
    <w:rsid w:val="00AA39F4"/>
    <w:rsid w:val="00AA7450"/>
    <w:rsid w:val="00AA7DD6"/>
    <w:rsid w:val="00AB20A5"/>
    <w:rsid w:val="00AB338D"/>
    <w:rsid w:val="00AB5B88"/>
    <w:rsid w:val="00AC0645"/>
    <w:rsid w:val="00AC389B"/>
    <w:rsid w:val="00AC4191"/>
    <w:rsid w:val="00AC5597"/>
    <w:rsid w:val="00AC5A83"/>
    <w:rsid w:val="00AC779A"/>
    <w:rsid w:val="00AC7F09"/>
    <w:rsid w:val="00AD28A0"/>
    <w:rsid w:val="00AD3482"/>
    <w:rsid w:val="00AD3494"/>
    <w:rsid w:val="00AD3C0B"/>
    <w:rsid w:val="00AD62AC"/>
    <w:rsid w:val="00AE0604"/>
    <w:rsid w:val="00AE262A"/>
    <w:rsid w:val="00AE3EAF"/>
    <w:rsid w:val="00AE43B0"/>
    <w:rsid w:val="00AE4CB8"/>
    <w:rsid w:val="00AF21AD"/>
    <w:rsid w:val="00AF352C"/>
    <w:rsid w:val="00AF4CDB"/>
    <w:rsid w:val="00B00071"/>
    <w:rsid w:val="00B01FF9"/>
    <w:rsid w:val="00B03116"/>
    <w:rsid w:val="00B06907"/>
    <w:rsid w:val="00B077BC"/>
    <w:rsid w:val="00B07FEC"/>
    <w:rsid w:val="00B10992"/>
    <w:rsid w:val="00B11050"/>
    <w:rsid w:val="00B113BE"/>
    <w:rsid w:val="00B154A5"/>
    <w:rsid w:val="00B16B2F"/>
    <w:rsid w:val="00B16EBD"/>
    <w:rsid w:val="00B1768C"/>
    <w:rsid w:val="00B17D0C"/>
    <w:rsid w:val="00B21C26"/>
    <w:rsid w:val="00B22949"/>
    <w:rsid w:val="00B236B7"/>
    <w:rsid w:val="00B23D13"/>
    <w:rsid w:val="00B3084C"/>
    <w:rsid w:val="00B37266"/>
    <w:rsid w:val="00B4342A"/>
    <w:rsid w:val="00B4446B"/>
    <w:rsid w:val="00B446FA"/>
    <w:rsid w:val="00B456ED"/>
    <w:rsid w:val="00B46A91"/>
    <w:rsid w:val="00B46BE2"/>
    <w:rsid w:val="00B4758F"/>
    <w:rsid w:val="00B511D6"/>
    <w:rsid w:val="00B51EB2"/>
    <w:rsid w:val="00B52614"/>
    <w:rsid w:val="00B5453C"/>
    <w:rsid w:val="00B605D7"/>
    <w:rsid w:val="00B62CB0"/>
    <w:rsid w:val="00B653FF"/>
    <w:rsid w:val="00B70173"/>
    <w:rsid w:val="00B708ED"/>
    <w:rsid w:val="00B7230A"/>
    <w:rsid w:val="00B731EE"/>
    <w:rsid w:val="00B73B88"/>
    <w:rsid w:val="00B83679"/>
    <w:rsid w:val="00B8773A"/>
    <w:rsid w:val="00B87FDA"/>
    <w:rsid w:val="00B92BC1"/>
    <w:rsid w:val="00B969B6"/>
    <w:rsid w:val="00B977C1"/>
    <w:rsid w:val="00B97E35"/>
    <w:rsid w:val="00BA007E"/>
    <w:rsid w:val="00BB0343"/>
    <w:rsid w:val="00BB03FF"/>
    <w:rsid w:val="00BB45C7"/>
    <w:rsid w:val="00BB56B0"/>
    <w:rsid w:val="00BB60CE"/>
    <w:rsid w:val="00BB69B6"/>
    <w:rsid w:val="00BB6A23"/>
    <w:rsid w:val="00BB6D39"/>
    <w:rsid w:val="00BB7DE8"/>
    <w:rsid w:val="00BC06EE"/>
    <w:rsid w:val="00BC1031"/>
    <w:rsid w:val="00BC2B7D"/>
    <w:rsid w:val="00BC2E19"/>
    <w:rsid w:val="00BC4702"/>
    <w:rsid w:val="00BC5EF9"/>
    <w:rsid w:val="00BD19C7"/>
    <w:rsid w:val="00BD22F0"/>
    <w:rsid w:val="00BD28E3"/>
    <w:rsid w:val="00BD3317"/>
    <w:rsid w:val="00BD34CA"/>
    <w:rsid w:val="00BD3FD2"/>
    <w:rsid w:val="00BD46AF"/>
    <w:rsid w:val="00BD48B4"/>
    <w:rsid w:val="00BD67ED"/>
    <w:rsid w:val="00BE0692"/>
    <w:rsid w:val="00BE1BA1"/>
    <w:rsid w:val="00BE3995"/>
    <w:rsid w:val="00BF0A1C"/>
    <w:rsid w:val="00BF0A71"/>
    <w:rsid w:val="00BF1C41"/>
    <w:rsid w:val="00BF38D2"/>
    <w:rsid w:val="00BF4146"/>
    <w:rsid w:val="00BF42E5"/>
    <w:rsid w:val="00BF663E"/>
    <w:rsid w:val="00BF6CA4"/>
    <w:rsid w:val="00C00961"/>
    <w:rsid w:val="00C0283B"/>
    <w:rsid w:val="00C02918"/>
    <w:rsid w:val="00C02A50"/>
    <w:rsid w:val="00C03486"/>
    <w:rsid w:val="00C05FB4"/>
    <w:rsid w:val="00C07700"/>
    <w:rsid w:val="00C10C5D"/>
    <w:rsid w:val="00C120DD"/>
    <w:rsid w:val="00C150D8"/>
    <w:rsid w:val="00C1528E"/>
    <w:rsid w:val="00C244C6"/>
    <w:rsid w:val="00C3261D"/>
    <w:rsid w:val="00C3292A"/>
    <w:rsid w:val="00C343F9"/>
    <w:rsid w:val="00C35379"/>
    <w:rsid w:val="00C405B7"/>
    <w:rsid w:val="00C44750"/>
    <w:rsid w:val="00C45B77"/>
    <w:rsid w:val="00C46C81"/>
    <w:rsid w:val="00C473D1"/>
    <w:rsid w:val="00C47D4A"/>
    <w:rsid w:val="00C47F81"/>
    <w:rsid w:val="00C52163"/>
    <w:rsid w:val="00C6224B"/>
    <w:rsid w:val="00C62613"/>
    <w:rsid w:val="00C629B1"/>
    <w:rsid w:val="00C62A06"/>
    <w:rsid w:val="00C63358"/>
    <w:rsid w:val="00C66C05"/>
    <w:rsid w:val="00C703EC"/>
    <w:rsid w:val="00C706C0"/>
    <w:rsid w:val="00C70947"/>
    <w:rsid w:val="00C73366"/>
    <w:rsid w:val="00C7533B"/>
    <w:rsid w:val="00C8054C"/>
    <w:rsid w:val="00C81086"/>
    <w:rsid w:val="00C833B8"/>
    <w:rsid w:val="00C861DD"/>
    <w:rsid w:val="00C93F2A"/>
    <w:rsid w:val="00CA0290"/>
    <w:rsid w:val="00CA0D1F"/>
    <w:rsid w:val="00CA20DA"/>
    <w:rsid w:val="00CA2C25"/>
    <w:rsid w:val="00CA5802"/>
    <w:rsid w:val="00CA78CD"/>
    <w:rsid w:val="00CA7994"/>
    <w:rsid w:val="00CA7CF9"/>
    <w:rsid w:val="00CA7D45"/>
    <w:rsid w:val="00CB0512"/>
    <w:rsid w:val="00CB3D11"/>
    <w:rsid w:val="00CB4B42"/>
    <w:rsid w:val="00CB53EA"/>
    <w:rsid w:val="00CB70EC"/>
    <w:rsid w:val="00CB7B21"/>
    <w:rsid w:val="00CC0687"/>
    <w:rsid w:val="00CC1592"/>
    <w:rsid w:val="00CC2E2A"/>
    <w:rsid w:val="00CC2EFB"/>
    <w:rsid w:val="00CC4919"/>
    <w:rsid w:val="00CC578F"/>
    <w:rsid w:val="00CC61CB"/>
    <w:rsid w:val="00CC729C"/>
    <w:rsid w:val="00CD14F5"/>
    <w:rsid w:val="00CD33CE"/>
    <w:rsid w:val="00CD3AFE"/>
    <w:rsid w:val="00CD44AF"/>
    <w:rsid w:val="00CD4D7D"/>
    <w:rsid w:val="00CD7EB0"/>
    <w:rsid w:val="00CE0402"/>
    <w:rsid w:val="00CE0636"/>
    <w:rsid w:val="00CE1FDB"/>
    <w:rsid w:val="00CE53BE"/>
    <w:rsid w:val="00CE5564"/>
    <w:rsid w:val="00CE5D5C"/>
    <w:rsid w:val="00CE6823"/>
    <w:rsid w:val="00CE7758"/>
    <w:rsid w:val="00CF1610"/>
    <w:rsid w:val="00CF1F61"/>
    <w:rsid w:val="00CF2648"/>
    <w:rsid w:val="00CF33BF"/>
    <w:rsid w:val="00CF6D93"/>
    <w:rsid w:val="00D010AD"/>
    <w:rsid w:val="00D02BD1"/>
    <w:rsid w:val="00D032F1"/>
    <w:rsid w:val="00D034A9"/>
    <w:rsid w:val="00D04C22"/>
    <w:rsid w:val="00D04F95"/>
    <w:rsid w:val="00D05B52"/>
    <w:rsid w:val="00D07F12"/>
    <w:rsid w:val="00D10D47"/>
    <w:rsid w:val="00D1371A"/>
    <w:rsid w:val="00D15A90"/>
    <w:rsid w:val="00D15C27"/>
    <w:rsid w:val="00D1614D"/>
    <w:rsid w:val="00D17574"/>
    <w:rsid w:val="00D201CE"/>
    <w:rsid w:val="00D2147E"/>
    <w:rsid w:val="00D22A70"/>
    <w:rsid w:val="00D22ABB"/>
    <w:rsid w:val="00D22D61"/>
    <w:rsid w:val="00D30F0F"/>
    <w:rsid w:val="00D34270"/>
    <w:rsid w:val="00D35988"/>
    <w:rsid w:val="00D35A2F"/>
    <w:rsid w:val="00D36253"/>
    <w:rsid w:val="00D36A34"/>
    <w:rsid w:val="00D371EB"/>
    <w:rsid w:val="00D37ED7"/>
    <w:rsid w:val="00D37F03"/>
    <w:rsid w:val="00D40A8A"/>
    <w:rsid w:val="00D40BD2"/>
    <w:rsid w:val="00D40EDE"/>
    <w:rsid w:val="00D41463"/>
    <w:rsid w:val="00D4196F"/>
    <w:rsid w:val="00D4322F"/>
    <w:rsid w:val="00D53022"/>
    <w:rsid w:val="00D53CAF"/>
    <w:rsid w:val="00D6540D"/>
    <w:rsid w:val="00D659D3"/>
    <w:rsid w:val="00D6668B"/>
    <w:rsid w:val="00D677A4"/>
    <w:rsid w:val="00D705A8"/>
    <w:rsid w:val="00D71311"/>
    <w:rsid w:val="00D72FBF"/>
    <w:rsid w:val="00D73219"/>
    <w:rsid w:val="00D73C0D"/>
    <w:rsid w:val="00D775D8"/>
    <w:rsid w:val="00D81F27"/>
    <w:rsid w:val="00D84430"/>
    <w:rsid w:val="00D91A21"/>
    <w:rsid w:val="00D91BD7"/>
    <w:rsid w:val="00D92F9E"/>
    <w:rsid w:val="00DA055B"/>
    <w:rsid w:val="00DA538B"/>
    <w:rsid w:val="00DA544F"/>
    <w:rsid w:val="00DA719E"/>
    <w:rsid w:val="00DA7EDA"/>
    <w:rsid w:val="00DB0296"/>
    <w:rsid w:val="00DB1E3C"/>
    <w:rsid w:val="00DB3C78"/>
    <w:rsid w:val="00DB444F"/>
    <w:rsid w:val="00DB67C4"/>
    <w:rsid w:val="00DB7413"/>
    <w:rsid w:val="00DC2793"/>
    <w:rsid w:val="00DC43CB"/>
    <w:rsid w:val="00DC46F1"/>
    <w:rsid w:val="00DC5C68"/>
    <w:rsid w:val="00DC6DE5"/>
    <w:rsid w:val="00DC7C68"/>
    <w:rsid w:val="00DD12AD"/>
    <w:rsid w:val="00DD4035"/>
    <w:rsid w:val="00DD46F6"/>
    <w:rsid w:val="00DD5160"/>
    <w:rsid w:val="00DD6708"/>
    <w:rsid w:val="00DD7783"/>
    <w:rsid w:val="00DE03D7"/>
    <w:rsid w:val="00DE058E"/>
    <w:rsid w:val="00DE0CE6"/>
    <w:rsid w:val="00DE42C9"/>
    <w:rsid w:val="00DE4A52"/>
    <w:rsid w:val="00DE4A72"/>
    <w:rsid w:val="00DE7FE5"/>
    <w:rsid w:val="00DF2152"/>
    <w:rsid w:val="00DF5657"/>
    <w:rsid w:val="00DF6C6E"/>
    <w:rsid w:val="00E01A88"/>
    <w:rsid w:val="00E04683"/>
    <w:rsid w:val="00E0515E"/>
    <w:rsid w:val="00E05A59"/>
    <w:rsid w:val="00E064B0"/>
    <w:rsid w:val="00E101AC"/>
    <w:rsid w:val="00E11885"/>
    <w:rsid w:val="00E121B5"/>
    <w:rsid w:val="00E136DD"/>
    <w:rsid w:val="00E13EA3"/>
    <w:rsid w:val="00E1567B"/>
    <w:rsid w:val="00E170D1"/>
    <w:rsid w:val="00E21929"/>
    <w:rsid w:val="00E21E6F"/>
    <w:rsid w:val="00E22EC2"/>
    <w:rsid w:val="00E248EB"/>
    <w:rsid w:val="00E24CB6"/>
    <w:rsid w:val="00E2580D"/>
    <w:rsid w:val="00E2593C"/>
    <w:rsid w:val="00E279D8"/>
    <w:rsid w:val="00E31AF3"/>
    <w:rsid w:val="00E34CFE"/>
    <w:rsid w:val="00E35BFF"/>
    <w:rsid w:val="00E35C53"/>
    <w:rsid w:val="00E42697"/>
    <w:rsid w:val="00E506EC"/>
    <w:rsid w:val="00E51B4D"/>
    <w:rsid w:val="00E51F30"/>
    <w:rsid w:val="00E529AD"/>
    <w:rsid w:val="00E536C8"/>
    <w:rsid w:val="00E562D4"/>
    <w:rsid w:val="00E61C22"/>
    <w:rsid w:val="00E636F4"/>
    <w:rsid w:val="00E6719A"/>
    <w:rsid w:val="00E67327"/>
    <w:rsid w:val="00E67DE9"/>
    <w:rsid w:val="00E71E59"/>
    <w:rsid w:val="00E71FF8"/>
    <w:rsid w:val="00E72148"/>
    <w:rsid w:val="00E761FA"/>
    <w:rsid w:val="00E76A28"/>
    <w:rsid w:val="00E80591"/>
    <w:rsid w:val="00E86D57"/>
    <w:rsid w:val="00E873C7"/>
    <w:rsid w:val="00E87653"/>
    <w:rsid w:val="00E9167C"/>
    <w:rsid w:val="00E968EC"/>
    <w:rsid w:val="00E96BDB"/>
    <w:rsid w:val="00E97517"/>
    <w:rsid w:val="00E97544"/>
    <w:rsid w:val="00EA140F"/>
    <w:rsid w:val="00EA2558"/>
    <w:rsid w:val="00EA404E"/>
    <w:rsid w:val="00EA769E"/>
    <w:rsid w:val="00EB02D8"/>
    <w:rsid w:val="00EB4E13"/>
    <w:rsid w:val="00EB5A02"/>
    <w:rsid w:val="00EB65E9"/>
    <w:rsid w:val="00EC0B57"/>
    <w:rsid w:val="00EC18EA"/>
    <w:rsid w:val="00EC1BF5"/>
    <w:rsid w:val="00EC3CDB"/>
    <w:rsid w:val="00EC5077"/>
    <w:rsid w:val="00EC68FD"/>
    <w:rsid w:val="00ED0498"/>
    <w:rsid w:val="00ED12A3"/>
    <w:rsid w:val="00ED135E"/>
    <w:rsid w:val="00ED50FC"/>
    <w:rsid w:val="00ED5FDD"/>
    <w:rsid w:val="00ED7AA4"/>
    <w:rsid w:val="00EE224B"/>
    <w:rsid w:val="00EE4DF6"/>
    <w:rsid w:val="00EE4FDD"/>
    <w:rsid w:val="00EE5D0B"/>
    <w:rsid w:val="00EE789B"/>
    <w:rsid w:val="00EE7B9E"/>
    <w:rsid w:val="00EF13F8"/>
    <w:rsid w:val="00EF19A3"/>
    <w:rsid w:val="00EF39DD"/>
    <w:rsid w:val="00EF3A90"/>
    <w:rsid w:val="00F00797"/>
    <w:rsid w:val="00F01808"/>
    <w:rsid w:val="00F03D61"/>
    <w:rsid w:val="00F066A0"/>
    <w:rsid w:val="00F10968"/>
    <w:rsid w:val="00F10C14"/>
    <w:rsid w:val="00F135B2"/>
    <w:rsid w:val="00F1396C"/>
    <w:rsid w:val="00F16D11"/>
    <w:rsid w:val="00F21B02"/>
    <w:rsid w:val="00F21D56"/>
    <w:rsid w:val="00F241BB"/>
    <w:rsid w:val="00F24786"/>
    <w:rsid w:val="00F25505"/>
    <w:rsid w:val="00F25F49"/>
    <w:rsid w:val="00F26F01"/>
    <w:rsid w:val="00F278BF"/>
    <w:rsid w:val="00F3003C"/>
    <w:rsid w:val="00F312A7"/>
    <w:rsid w:val="00F32BE5"/>
    <w:rsid w:val="00F3737E"/>
    <w:rsid w:val="00F408AA"/>
    <w:rsid w:val="00F42AEA"/>
    <w:rsid w:val="00F42FEB"/>
    <w:rsid w:val="00F43405"/>
    <w:rsid w:val="00F4591F"/>
    <w:rsid w:val="00F50342"/>
    <w:rsid w:val="00F50628"/>
    <w:rsid w:val="00F51170"/>
    <w:rsid w:val="00F56786"/>
    <w:rsid w:val="00F56DF8"/>
    <w:rsid w:val="00F57172"/>
    <w:rsid w:val="00F57A69"/>
    <w:rsid w:val="00F60222"/>
    <w:rsid w:val="00F60977"/>
    <w:rsid w:val="00F61470"/>
    <w:rsid w:val="00F62E0D"/>
    <w:rsid w:val="00F65FCD"/>
    <w:rsid w:val="00F66220"/>
    <w:rsid w:val="00F665F2"/>
    <w:rsid w:val="00F73D44"/>
    <w:rsid w:val="00F80721"/>
    <w:rsid w:val="00F817F3"/>
    <w:rsid w:val="00F82293"/>
    <w:rsid w:val="00F82830"/>
    <w:rsid w:val="00F835D3"/>
    <w:rsid w:val="00F84758"/>
    <w:rsid w:val="00F8656E"/>
    <w:rsid w:val="00F9194D"/>
    <w:rsid w:val="00F9692D"/>
    <w:rsid w:val="00F96A9A"/>
    <w:rsid w:val="00FA05AD"/>
    <w:rsid w:val="00FA0BC6"/>
    <w:rsid w:val="00FA126C"/>
    <w:rsid w:val="00FB1752"/>
    <w:rsid w:val="00FB279C"/>
    <w:rsid w:val="00FB30FF"/>
    <w:rsid w:val="00FB353E"/>
    <w:rsid w:val="00FB3AA1"/>
    <w:rsid w:val="00FB518D"/>
    <w:rsid w:val="00FB7BF3"/>
    <w:rsid w:val="00FC2820"/>
    <w:rsid w:val="00FC631A"/>
    <w:rsid w:val="00FC698E"/>
    <w:rsid w:val="00FC7963"/>
    <w:rsid w:val="00FC7F63"/>
    <w:rsid w:val="00FD18D0"/>
    <w:rsid w:val="00FD22FC"/>
    <w:rsid w:val="00FD5385"/>
    <w:rsid w:val="00FD5726"/>
    <w:rsid w:val="00FE011D"/>
    <w:rsid w:val="00FE0671"/>
    <w:rsid w:val="00FE28AD"/>
    <w:rsid w:val="00FE3092"/>
    <w:rsid w:val="00FE5FFA"/>
    <w:rsid w:val="00FF0F4F"/>
    <w:rsid w:val="00FF2833"/>
    <w:rsid w:val="00FF51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D0260A"/>
  <w15:docId w15:val="{AF29D6CD-0E31-430E-B38C-09FB6357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5A48"/>
    <w:pPr>
      <w:spacing w:line="276" w:lineRule="auto"/>
      <w:jc w:val="both"/>
    </w:pPr>
    <w:rPr>
      <w:sz w:val="22"/>
      <w:szCs w:val="22"/>
      <w:lang w:eastAsia="en-US"/>
    </w:rPr>
  </w:style>
  <w:style w:type="paragraph" w:styleId="berschrift1">
    <w:name w:val="heading 1"/>
    <w:basedOn w:val="Standard"/>
    <w:next w:val="Standard"/>
    <w:link w:val="berschrift1Zchn"/>
    <w:uiPriority w:val="9"/>
    <w:qFormat/>
    <w:rsid w:val="003F6D85"/>
    <w:pPr>
      <w:keepNext/>
      <w:keepLines/>
      <w:spacing w:before="480"/>
      <w:outlineLvl w:val="0"/>
    </w:pPr>
    <w:rPr>
      <w:rFonts w:ascii="Cambria" w:eastAsia="Times New Roman" w:hAnsi="Cambria"/>
      <w:b/>
      <w:bCs/>
      <w:color w:val="3871C1"/>
      <w:sz w:val="28"/>
      <w:szCs w:val="28"/>
    </w:rPr>
  </w:style>
  <w:style w:type="paragraph" w:styleId="berschrift2">
    <w:name w:val="heading 2"/>
    <w:basedOn w:val="Standard"/>
    <w:next w:val="Standard"/>
    <w:link w:val="berschrift2Zchn"/>
    <w:uiPriority w:val="9"/>
    <w:unhideWhenUsed/>
    <w:qFormat/>
    <w:rsid w:val="003F6D85"/>
    <w:pPr>
      <w:keepNext/>
      <w:keepLines/>
      <w:spacing w:before="40"/>
      <w:outlineLvl w:val="1"/>
    </w:pPr>
    <w:rPr>
      <w:rFonts w:ascii="Cambria" w:eastAsia="Times New Roman" w:hAnsi="Cambria"/>
      <w:color w:val="3871C1"/>
      <w:sz w:val="26"/>
      <w:szCs w:val="26"/>
    </w:rPr>
  </w:style>
  <w:style w:type="paragraph" w:styleId="berschrift3">
    <w:name w:val="heading 3"/>
    <w:basedOn w:val="Standard"/>
    <w:next w:val="Standard"/>
    <w:link w:val="berschrift3Zchn"/>
    <w:uiPriority w:val="9"/>
    <w:unhideWhenUsed/>
    <w:qFormat/>
    <w:rsid w:val="003F6D85"/>
    <w:pPr>
      <w:keepNext/>
      <w:keepLines/>
      <w:spacing w:before="40"/>
      <w:outlineLvl w:val="2"/>
    </w:pPr>
    <w:rPr>
      <w:rFonts w:ascii="Cambria" w:eastAsia="Times New Roman" w:hAnsi="Cambria"/>
      <w:color w:val="3871C1"/>
      <w:sz w:val="24"/>
      <w:szCs w:val="24"/>
    </w:rPr>
  </w:style>
  <w:style w:type="paragraph" w:styleId="berschrift4">
    <w:name w:val="heading 4"/>
    <w:basedOn w:val="Standard"/>
    <w:next w:val="Standard"/>
    <w:link w:val="berschrift4Zchn"/>
    <w:uiPriority w:val="9"/>
    <w:semiHidden/>
    <w:unhideWhenUsed/>
    <w:qFormat/>
    <w:rsid w:val="003F6D85"/>
    <w:pPr>
      <w:keepNext/>
      <w:keepLines/>
      <w:spacing w:before="40"/>
      <w:outlineLvl w:val="3"/>
    </w:pPr>
    <w:rPr>
      <w:rFonts w:ascii="Cambria" w:eastAsia="Times New Roman" w:hAnsi="Cambria"/>
      <w:i/>
      <w:iCs/>
      <w:color w:val="365F91"/>
    </w:rPr>
  </w:style>
  <w:style w:type="paragraph" w:styleId="berschrift5">
    <w:name w:val="heading 5"/>
    <w:basedOn w:val="Standard"/>
    <w:next w:val="Standard"/>
    <w:link w:val="berschrift5Zchn"/>
    <w:uiPriority w:val="9"/>
    <w:semiHidden/>
    <w:unhideWhenUsed/>
    <w:qFormat/>
    <w:rsid w:val="003F6D85"/>
    <w:pPr>
      <w:keepNext/>
      <w:keepLines/>
      <w:spacing w:before="40"/>
      <w:outlineLvl w:val="4"/>
    </w:pPr>
    <w:rPr>
      <w:rFonts w:ascii="Cambria" w:eastAsia="Times New Roman" w:hAnsi="Cambria"/>
      <w:color w:val="365F91"/>
    </w:rPr>
  </w:style>
  <w:style w:type="paragraph" w:styleId="berschrift6">
    <w:name w:val="heading 6"/>
    <w:basedOn w:val="Standard"/>
    <w:next w:val="Standard"/>
    <w:link w:val="berschrift6Zchn"/>
    <w:uiPriority w:val="9"/>
    <w:semiHidden/>
    <w:unhideWhenUsed/>
    <w:qFormat/>
    <w:rsid w:val="003F6D85"/>
    <w:pPr>
      <w:keepNext/>
      <w:keepLines/>
      <w:spacing w:before="40"/>
      <w:outlineLvl w:val="5"/>
    </w:pPr>
    <w:rPr>
      <w:rFonts w:ascii="Cambria" w:eastAsia="Times New Roman" w:hAnsi="Cambria"/>
      <w:color w:val="243F60"/>
    </w:rPr>
  </w:style>
  <w:style w:type="paragraph" w:styleId="berschrift7">
    <w:name w:val="heading 7"/>
    <w:basedOn w:val="Standard"/>
    <w:next w:val="Standard"/>
    <w:link w:val="berschrift7Zchn"/>
    <w:uiPriority w:val="9"/>
    <w:semiHidden/>
    <w:unhideWhenUsed/>
    <w:qFormat/>
    <w:rsid w:val="003F6D85"/>
    <w:pPr>
      <w:keepNext/>
      <w:keepLines/>
      <w:spacing w:before="40"/>
      <w:outlineLvl w:val="6"/>
    </w:pPr>
    <w:rPr>
      <w:rFonts w:ascii="Cambria" w:eastAsia="Times New Roman" w:hAnsi="Cambria"/>
      <w:i/>
      <w:iCs/>
      <w:color w:val="243F60"/>
    </w:rPr>
  </w:style>
  <w:style w:type="paragraph" w:styleId="berschrift8">
    <w:name w:val="heading 8"/>
    <w:basedOn w:val="Standard"/>
    <w:next w:val="Standard"/>
    <w:link w:val="berschrift8Zchn"/>
    <w:uiPriority w:val="9"/>
    <w:semiHidden/>
    <w:unhideWhenUsed/>
    <w:qFormat/>
    <w:rsid w:val="003F6D85"/>
    <w:pPr>
      <w:keepNext/>
      <w:keepLines/>
      <w:spacing w:before="40"/>
      <w:outlineLvl w:val="7"/>
    </w:pPr>
    <w:rPr>
      <w:rFonts w:ascii="Cambria" w:eastAsia="Times New Roman" w:hAnsi="Cambria"/>
      <w:color w:val="272727"/>
      <w:sz w:val="21"/>
      <w:szCs w:val="21"/>
    </w:rPr>
  </w:style>
  <w:style w:type="paragraph" w:styleId="berschrift9">
    <w:name w:val="heading 9"/>
    <w:basedOn w:val="Standard"/>
    <w:next w:val="Standard"/>
    <w:link w:val="berschrift9Zchn"/>
    <w:uiPriority w:val="9"/>
    <w:semiHidden/>
    <w:unhideWhenUsed/>
    <w:qFormat/>
    <w:rsid w:val="003F6D85"/>
    <w:pPr>
      <w:keepNext/>
      <w:keepLines/>
      <w:spacing w:before="40"/>
      <w:outlineLvl w:val="8"/>
    </w:pPr>
    <w:rPr>
      <w:rFonts w:ascii="Cambria" w:eastAsia="Times New Roman" w:hAnsi="Cambria"/>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F6D85"/>
    <w:rPr>
      <w:rFonts w:ascii="Cambria" w:eastAsia="Times New Roman" w:hAnsi="Cambria"/>
      <w:b/>
      <w:bCs/>
      <w:color w:val="3871C1"/>
      <w:sz w:val="28"/>
      <w:szCs w:val="28"/>
      <w:lang w:eastAsia="en-US"/>
    </w:rPr>
  </w:style>
  <w:style w:type="character" w:customStyle="1" w:styleId="berschrift2Zchn">
    <w:name w:val="Überschrift 2 Zchn"/>
    <w:link w:val="berschrift2"/>
    <w:uiPriority w:val="9"/>
    <w:rsid w:val="003F6D85"/>
    <w:rPr>
      <w:rFonts w:ascii="Cambria" w:eastAsia="Times New Roman" w:hAnsi="Cambria"/>
      <w:color w:val="3871C1"/>
      <w:sz w:val="26"/>
      <w:szCs w:val="26"/>
      <w:lang w:eastAsia="en-US"/>
    </w:rPr>
  </w:style>
  <w:style w:type="character" w:customStyle="1" w:styleId="berschrift3Zchn">
    <w:name w:val="Überschrift 3 Zchn"/>
    <w:link w:val="berschrift3"/>
    <w:uiPriority w:val="9"/>
    <w:rsid w:val="003F6D85"/>
    <w:rPr>
      <w:rFonts w:ascii="Cambria" w:eastAsia="Times New Roman" w:hAnsi="Cambria"/>
      <w:color w:val="3871C1"/>
      <w:sz w:val="24"/>
      <w:szCs w:val="24"/>
      <w:lang w:eastAsia="en-US"/>
    </w:rPr>
  </w:style>
  <w:style w:type="character" w:customStyle="1" w:styleId="berschrift4Zchn">
    <w:name w:val="Überschrift 4 Zchn"/>
    <w:link w:val="berschrift4"/>
    <w:uiPriority w:val="9"/>
    <w:semiHidden/>
    <w:rsid w:val="003F6D85"/>
    <w:rPr>
      <w:rFonts w:ascii="Cambria" w:eastAsia="Times New Roman" w:hAnsi="Cambria"/>
      <w:i/>
      <w:iCs/>
      <w:color w:val="365F91"/>
      <w:sz w:val="22"/>
      <w:szCs w:val="22"/>
      <w:lang w:eastAsia="en-US"/>
    </w:rPr>
  </w:style>
  <w:style w:type="character" w:customStyle="1" w:styleId="berschrift5Zchn">
    <w:name w:val="Überschrift 5 Zchn"/>
    <w:link w:val="berschrift5"/>
    <w:uiPriority w:val="9"/>
    <w:semiHidden/>
    <w:rsid w:val="003F6D85"/>
    <w:rPr>
      <w:rFonts w:ascii="Cambria" w:eastAsia="Times New Roman" w:hAnsi="Cambria"/>
      <w:color w:val="365F91"/>
      <w:sz w:val="22"/>
      <w:szCs w:val="22"/>
      <w:lang w:eastAsia="en-US"/>
    </w:rPr>
  </w:style>
  <w:style w:type="character" w:customStyle="1" w:styleId="berschrift6Zchn">
    <w:name w:val="Überschrift 6 Zchn"/>
    <w:link w:val="berschrift6"/>
    <w:uiPriority w:val="9"/>
    <w:semiHidden/>
    <w:rsid w:val="003F6D85"/>
    <w:rPr>
      <w:rFonts w:ascii="Cambria" w:eastAsia="Times New Roman" w:hAnsi="Cambria"/>
      <w:color w:val="243F60"/>
      <w:sz w:val="22"/>
      <w:szCs w:val="22"/>
      <w:lang w:eastAsia="en-US"/>
    </w:rPr>
  </w:style>
  <w:style w:type="character" w:customStyle="1" w:styleId="berschrift7Zchn">
    <w:name w:val="Überschrift 7 Zchn"/>
    <w:link w:val="berschrift7"/>
    <w:uiPriority w:val="9"/>
    <w:semiHidden/>
    <w:rsid w:val="003F6D85"/>
    <w:rPr>
      <w:rFonts w:ascii="Cambria" w:eastAsia="Times New Roman" w:hAnsi="Cambria"/>
      <w:i/>
      <w:iCs/>
      <w:color w:val="243F60"/>
      <w:sz w:val="22"/>
      <w:szCs w:val="22"/>
      <w:lang w:eastAsia="en-US"/>
    </w:rPr>
  </w:style>
  <w:style w:type="character" w:customStyle="1" w:styleId="berschrift8Zchn">
    <w:name w:val="Überschrift 8 Zchn"/>
    <w:link w:val="berschrift8"/>
    <w:uiPriority w:val="9"/>
    <w:semiHidden/>
    <w:rsid w:val="003F6D85"/>
    <w:rPr>
      <w:rFonts w:ascii="Cambria" w:eastAsia="Times New Roman" w:hAnsi="Cambria"/>
      <w:color w:val="272727"/>
      <w:sz w:val="21"/>
      <w:szCs w:val="21"/>
      <w:lang w:eastAsia="en-US"/>
    </w:rPr>
  </w:style>
  <w:style w:type="character" w:customStyle="1" w:styleId="berschrift9Zchn">
    <w:name w:val="Überschrift 9 Zchn"/>
    <w:link w:val="berschrift9"/>
    <w:uiPriority w:val="9"/>
    <w:semiHidden/>
    <w:rsid w:val="003F6D85"/>
    <w:rPr>
      <w:rFonts w:ascii="Cambria" w:eastAsia="Times New Roman" w:hAnsi="Cambria"/>
      <w:i/>
      <w:iCs/>
      <w:color w:val="272727"/>
      <w:sz w:val="21"/>
      <w:szCs w:val="21"/>
      <w:lang w:eastAsia="en-US"/>
    </w:rPr>
  </w:style>
  <w:style w:type="paragraph" w:styleId="Listenabsatz">
    <w:name w:val="List Paragraph"/>
    <w:basedOn w:val="Standard"/>
    <w:link w:val="ListenabsatzZchn"/>
    <w:uiPriority w:val="34"/>
    <w:qFormat/>
    <w:rsid w:val="003F6D85"/>
    <w:pPr>
      <w:ind w:left="720"/>
      <w:contextualSpacing/>
    </w:pPr>
  </w:style>
  <w:style w:type="paragraph" w:styleId="Funotentext">
    <w:name w:val="footnote text"/>
    <w:basedOn w:val="Standard"/>
    <w:link w:val="FunotentextZchn"/>
    <w:uiPriority w:val="99"/>
    <w:semiHidden/>
    <w:unhideWhenUsed/>
    <w:rsid w:val="003F6D85"/>
    <w:pPr>
      <w:spacing w:line="240" w:lineRule="auto"/>
    </w:pPr>
    <w:rPr>
      <w:sz w:val="20"/>
      <w:szCs w:val="20"/>
    </w:rPr>
  </w:style>
  <w:style w:type="character" w:customStyle="1" w:styleId="FunotentextZchn">
    <w:name w:val="Fußnotentext Zchn"/>
    <w:link w:val="Funotentext"/>
    <w:uiPriority w:val="99"/>
    <w:semiHidden/>
    <w:rsid w:val="003F6D85"/>
    <w:rPr>
      <w:sz w:val="20"/>
      <w:szCs w:val="20"/>
    </w:rPr>
  </w:style>
  <w:style w:type="character" w:styleId="Funotenzeichen">
    <w:name w:val="footnote reference"/>
    <w:uiPriority w:val="99"/>
    <w:semiHidden/>
    <w:unhideWhenUsed/>
    <w:rsid w:val="003F6D85"/>
    <w:rPr>
      <w:vertAlign w:val="superscript"/>
    </w:rPr>
  </w:style>
  <w:style w:type="paragraph" w:styleId="Titel">
    <w:name w:val="Title"/>
    <w:basedOn w:val="Standard"/>
    <w:next w:val="Standard"/>
    <w:link w:val="TitelZchn"/>
    <w:uiPriority w:val="10"/>
    <w:qFormat/>
    <w:rsid w:val="003F6D85"/>
    <w:pPr>
      <w:spacing w:line="240" w:lineRule="auto"/>
      <w:contextualSpacing/>
    </w:pPr>
    <w:rPr>
      <w:rFonts w:ascii="Cambria" w:eastAsia="Times New Roman" w:hAnsi="Cambria"/>
      <w:spacing w:val="-10"/>
      <w:kern w:val="28"/>
      <w:sz w:val="56"/>
      <w:szCs w:val="56"/>
    </w:rPr>
  </w:style>
  <w:style w:type="character" w:customStyle="1" w:styleId="TitelZchn">
    <w:name w:val="Titel Zchn"/>
    <w:link w:val="Titel"/>
    <w:uiPriority w:val="10"/>
    <w:rsid w:val="003F6D85"/>
    <w:rPr>
      <w:rFonts w:ascii="Cambria" w:eastAsia="Times New Roman" w:hAnsi="Cambria" w:cs="Times New Roman"/>
      <w:spacing w:val="-10"/>
      <w:kern w:val="28"/>
      <w:sz w:val="56"/>
      <w:szCs w:val="56"/>
    </w:rPr>
  </w:style>
  <w:style w:type="paragraph" w:styleId="Kopfzeile">
    <w:name w:val="header"/>
    <w:basedOn w:val="Standard"/>
    <w:link w:val="KopfzeileZchn"/>
    <w:uiPriority w:val="99"/>
    <w:unhideWhenUsed/>
    <w:rsid w:val="003F6D8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F6D85"/>
  </w:style>
  <w:style w:type="paragraph" w:styleId="Fuzeile">
    <w:name w:val="footer"/>
    <w:basedOn w:val="Standard"/>
    <w:link w:val="FuzeileZchn"/>
    <w:uiPriority w:val="99"/>
    <w:unhideWhenUsed/>
    <w:rsid w:val="003F6D8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F6D85"/>
  </w:style>
  <w:style w:type="paragraph" w:styleId="NurText">
    <w:name w:val="Plain Text"/>
    <w:basedOn w:val="Standard"/>
    <w:link w:val="NurTextZchn"/>
    <w:uiPriority w:val="99"/>
    <w:unhideWhenUsed/>
    <w:rsid w:val="003F6D85"/>
    <w:pPr>
      <w:spacing w:line="240" w:lineRule="auto"/>
    </w:pPr>
    <w:rPr>
      <w:rFonts w:eastAsia="Times New Roman"/>
      <w:szCs w:val="21"/>
    </w:rPr>
  </w:style>
  <w:style w:type="character" w:customStyle="1" w:styleId="NurTextZchn">
    <w:name w:val="Nur Text Zchn"/>
    <w:link w:val="NurText"/>
    <w:uiPriority w:val="99"/>
    <w:rsid w:val="003F6D85"/>
    <w:rPr>
      <w:rFonts w:ascii="Calibri" w:eastAsia="Times New Roman" w:hAnsi="Calibri" w:cs="Times New Roman"/>
      <w:szCs w:val="21"/>
    </w:rPr>
  </w:style>
  <w:style w:type="paragraph" w:styleId="Sprechblasentext">
    <w:name w:val="Balloon Text"/>
    <w:basedOn w:val="Standard"/>
    <w:link w:val="SprechblasentextZchn"/>
    <w:uiPriority w:val="99"/>
    <w:semiHidden/>
    <w:unhideWhenUsed/>
    <w:rsid w:val="003F6D85"/>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F6D85"/>
    <w:rPr>
      <w:rFonts w:ascii="Tahoma" w:hAnsi="Tahoma" w:cs="Tahoma"/>
      <w:sz w:val="16"/>
      <w:szCs w:val="16"/>
    </w:rPr>
  </w:style>
  <w:style w:type="character" w:styleId="Kommentarzeichen">
    <w:name w:val="annotation reference"/>
    <w:uiPriority w:val="99"/>
    <w:semiHidden/>
    <w:unhideWhenUsed/>
    <w:rsid w:val="00BE1BA1"/>
    <w:rPr>
      <w:sz w:val="16"/>
      <w:szCs w:val="16"/>
    </w:rPr>
  </w:style>
  <w:style w:type="paragraph" w:styleId="Kommentartext">
    <w:name w:val="annotation text"/>
    <w:basedOn w:val="Standard"/>
    <w:link w:val="KommentartextZchn"/>
    <w:uiPriority w:val="99"/>
    <w:unhideWhenUsed/>
    <w:rsid w:val="00BE1BA1"/>
    <w:rPr>
      <w:sz w:val="20"/>
      <w:szCs w:val="20"/>
    </w:rPr>
  </w:style>
  <w:style w:type="character" w:customStyle="1" w:styleId="KommentartextZchn">
    <w:name w:val="Kommentartext Zchn"/>
    <w:link w:val="Kommentartext"/>
    <w:uiPriority w:val="99"/>
    <w:rsid w:val="00BE1BA1"/>
    <w:rPr>
      <w:lang w:val="nl-NL" w:eastAsia="en-US"/>
    </w:rPr>
  </w:style>
  <w:style w:type="paragraph" w:styleId="Kommentarthema">
    <w:name w:val="annotation subject"/>
    <w:basedOn w:val="Kommentartext"/>
    <w:next w:val="Kommentartext"/>
    <w:link w:val="KommentarthemaZchn"/>
    <w:uiPriority w:val="99"/>
    <w:semiHidden/>
    <w:unhideWhenUsed/>
    <w:rsid w:val="00BE1BA1"/>
    <w:rPr>
      <w:b/>
      <w:bCs/>
    </w:rPr>
  </w:style>
  <w:style w:type="character" w:customStyle="1" w:styleId="KommentarthemaZchn">
    <w:name w:val="Kommentarthema Zchn"/>
    <w:link w:val="Kommentarthema"/>
    <w:uiPriority w:val="99"/>
    <w:semiHidden/>
    <w:rsid w:val="00BE1BA1"/>
    <w:rPr>
      <w:b/>
      <w:bCs/>
      <w:lang w:val="nl-NL" w:eastAsia="en-US"/>
    </w:rPr>
  </w:style>
  <w:style w:type="paragraph" w:styleId="berarbeitung">
    <w:name w:val="Revision"/>
    <w:hidden/>
    <w:uiPriority w:val="99"/>
    <w:semiHidden/>
    <w:rsid w:val="00695D11"/>
    <w:rPr>
      <w:sz w:val="22"/>
      <w:szCs w:val="22"/>
      <w:lang w:eastAsia="en-US"/>
    </w:rPr>
  </w:style>
  <w:style w:type="character" w:styleId="Fett">
    <w:name w:val="Strong"/>
    <w:basedOn w:val="Absatz-Standardschriftart"/>
    <w:uiPriority w:val="22"/>
    <w:qFormat/>
    <w:rsid w:val="005C75E4"/>
    <w:rPr>
      <w:b/>
      <w:bCs/>
    </w:rPr>
  </w:style>
  <w:style w:type="character" w:customStyle="1" w:styleId="A0">
    <w:name w:val="A0"/>
    <w:basedOn w:val="Absatz-Standardschriftart"/>
    <w:uiPriority w:val="99"/>
    <w:rsid w:val="002E1E44"/>
    <w:rPr>
      <w:rFonts w:ascii="NimbusSanLig" w:hAnsi="NimbusSanLig" w:hint="default"/>
      <w:color w:val="002703"/>
    </w:rPr>
  </w:style>
  <w:style w:type="character" w:styleId="Platzhaltertext">
    <w:name w:val="Placeholder Text"/>
    <w:basedOn w:val="Absatz-Standardschriftart"/>
    <w:uiPriority w:val="99"/>
    <w:semiHidden/>
    <w:rsid w:val="00C62613"/>
    <w:rPr>
      <w:color w:val="808080"/>
    </w:rPr>
  </w:style>
  <w:style w:type="table" w:styleId="Tabellenraster">
    <w:name w:val="Table Grid"/>
    <w:basedOn w:val="NormaleTabelle"/>
    <w:uiPriority w:val="59"/>
    <w:rsid w:val="001677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11">
    <w:name w:val="List Table 1 Light - Accent 11"/>
    <w:basedOn w:val="NormaleTabelle"/>
    <w:uiPriority w:val="46"/>
    <w:rsid w:val="0063608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Absatz-Standardschriftart"/>
    <w:uiPriority w:val="99"/>
    <w:unhideWhenUsed/>
    <w:rsid w:val="00D53022"/>
    <w:rPr>
      <w:color w:val="0000FF" w:themeColor="hyperlink"/>
      <w:u w:val="single"/>
    </w:rPr>
  </w:style>
  <w:style w:type="character" w:customStyle="1" w:styleId="ListenabsatzZchn">
    <w:name w:val="Listenabsatz Zchn"/>
    <w:basedOn w:val="Absatz-Standardschriftart"/>
    <w:link w:val="Listenabsatz"/>
    <w:uiPriority w:val="34"/>
    <w:locked/>
    <w:rsid w:val="00640B39"/>
    <w:rPr>
      <w:sz w:val="22"/>
      <w:szCs w:val="22"/>
      <w:lang w:eastAsia="en-US"/>
    </w:rPr>
  </w:style>
  <w:style w:type="paragraph" w:styleId="HTMLVorformatiert">
    <w:name w:val="HTML Preformatted"/>
    <w:basedOn w:val="Standard"/>
    <w:link w:val="HTMLVorformatiertZchn"/>
    <w:uiPriority w:val="99"/>
    <w:semiHidden/>
    <w:unhideWhenUsed/>
    <w:rsid w:val="00341AAA"/>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41AAA"/>
    <w:rPr>
      <w:rFonts w:ascii="Consolas" w:hAnsi="Consolas"/>
      <w:lang w:eastAsia="en-US"/>
    </w:rPr>
  </w:style>
  <w:style w:type="character" w:customStyle="1" w:styleId="Formatvorlage1Zchn">
    <w:name w:val="Formatvorlage1 Zchn"/>
    <w:basedOn w:val="Absatz-Standardschriftart"/>
    <w:link w:val="Formatvorlage1"/>
    <w:locked/>
    <w:rsid w:val="003815C1"/>
    <w:rPr>
      <w:rFonts w:ascii="Arial" w:eastAsiaTheme="majorEastAsia" w:hAnsi="Arial" w:cs="Arial"/>
      <w:color w:val="365F91" w:themeColor="accent1" w:themeShade="BF"/>
      <w:sz w:val="32"/>
      <w:szCs w:val="32"/>
      <w:lang w:eastAsia="de-DE"/>
    </w:rPr>
  </w:style>
  <w:style w:type="paragraph" w:customStyle="1" w:styleId="Formatvorlage1">
    <w:name w:val="Formatvorlage1"/>
    <w:basedOn w:val="berschrift1"/>
    <w:link w:val="Formatvorlage1Zchn"/>
    <w:qFormat/>
    <w:rsid w:val="003815C1"/>
    <w:pPr>
      <w:spacing w:before="240" w:after="160" w:line="252" w:lineRule="auto"/>
      <w:contextualSpacing/>
      <w:jc w:val="left"/>
    </w:pPr>
    <w:rPr>
      <w:rFonts w:ascii="Arial" w:eastAsiaTheme="majorEastAsia" w:hAnsi="Arial" w:cs="Arial"/>
      <w:b w:val="0"/>
      <w:bCs w:val="0"/>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42">
      <w:bodyDiv w:val="1"/>
      <w:marLeft w:val="0"/>
      <w:marRight w:val="0"/>
      <w:marTop w:val="0"/>
      <w:marBottom w:val="0"/>
      <w:divBdr>
        <w:top w:val="none" w:sz="0" w:space="0" w:color="auto"/>
        <w:left w:val="none" w:sz="0" w:space="0" w:color="auto"/>
        <w:bottom w:val="none" w:sz="0" w:space="0" w:color="auto"/>
        <w:right w:val="none" w:sz="0" w:space="0" w:color="auto"/>
      </w:divBdr>
    </w:div>
    <w:div w:id="57821359">
      <w:bodyDiv w:val="1"/>
      <w:marLeft w:val="0"/>
      <w:marRight w:val="0"/>
      <w:marTop w:val="0"/>
      <w:marBottom w:val="0"/>
      <w:divBdr>
        <w:top w:val="none" w:sz="0" w:space="0" w:color="auto"/>
        <w:left w:val="none" w:sz="0" w:space="0" w:color="auto"/>
        <w:bottom w:val="none" w:sz="0" w:space="0" w:color="auto"/>
        <w:right w:val="none" w:sz="0" w:space="0" w:color="auto"/>
      </w:divBdr>
    </w:div>
    <w:div w:id="167866624">
      <w:bodyDiv w:val="1"/>
      <w:marLeft w:val="0"/>
      <w:marRight w:val="0"/>
      <w:marTop w:val="0"/>
      <w:marBottom w:val="0"/>
      <w:divBdr>
        <w:top w:val="none" w:sz="0" w:space="0" w:color="auto"/>
        <w:left w:val="none" w:sz="0" w:space="0" w:color="auto"/>
        <w:bottom w:val="none" w:sz="0" w:space="0" w:color="auto"/>
        <w:right w:val="none" w:sz="0" w:space="0" w:color="auto"/>
      </w:divBdr>
    </w:div>
    <w:div w:id="228031427">
      <w:bodyDiv w:val="1"/>
      <w:marLeft w:val="0"/>
      <w:marRight w:val="0"/>
      <w:marTop w:val="0"/>
      <w:marBottom w:val="0"/>
      <w:divBdr>
        <w:top w:val="none" w:sz="0" w:space="0" w:color="auto"/>
        <w:left w:val="none" w:sz="0" w:space="0" w:color="auto"/>
        <w:bottom w:val="none" w:sz="0" w:space="0" w:color="auto"/>
        <w:right w:val="none" w:sz="0" w:space="0" w:color="auto"/>
      </w:divBdr>
    </w:div>
    <w:div w:id="291402703">
      <w:bodyDiv w:val="1"/>
      <w:marLeft w:val="0"/>
      <w:marRight w:val="0"/>
      <w:marTop w:val="0"/>
      <w:marBottom w:val="0"/>
      <w:divBdr>
        <w:top w:val="none" w:sz="0" w:space="0" w:color="auto"/>
        <w:left w:val="none" w:sz="0" w:space="0" w:color="auto"/>
        <w:bottom w:val="none" w:sz="0" w:space="0" w:color="auto"/>
        <w:right w:val="none" w:sz="0" w:space="0" w:color="auto"/>
      </w:divBdr>
    </w:div>
    <w:div w:id="314604118">
      <w:bodyDiv w:val="1"/>
      <w:marLeft w:val="0"/>
      <w:marRight w:val="0"/>
      <w:marTop w:val="0"/>
      <w:marBottom w:val="0"/>
      <w:divBdr>
        <w:top w:val="none" w:sz="0" w:space="0" w:color="auto"/>
        <w:left w:val="none" w:sz="0" w:space="0" w:color="auto"/>
        <w:bottom w:val="none" w:sz="0" w:space="0" w:color="auto"/>
        <w:right w:val="none" w:sz="0" w:space="0" w:color="auto"/>
      </w:divBdr>
    </w:div>
    <w:div w:id="327489181">
      <w:bodyDiv w:val="1"/>
      <w:marLeft w:val="0"/>
      <w:marRight w:val="0"/>
      <w:marTop w:val="0"/>
      <w:marBottom w:val="0"/>
      <w:divBdr>
        <w:top w:val="none" w:sz="0" w:space="0" w:color="auto"/>
        <w:left w:val="none" w:sz="0" w:space="0" w:color="auto"/>
        <w:bottom w:val="none" w:sz="0" w:space="0" w:color="auto"/>
        <w:right w:val="none" w:sz="0" w:space="0" w:color="auto"/>
      </w:divBdr>
    </w:div>
    <w:div w:id="354507009">
      <w:bodyDiv w:val="1"/>
      <w:marLeft w:val="0"/>
      <w:marRight w:val="0"/>
      <w:marTop w:val="0"/>
      <w:marBottom w:val="0"/>
      <w:divBdr>
        <w:top w:val="none" w:sz="0" w:space="0" w:color="auto"/>
        <w:left w:val="none" w:sz="0" w:space="0" w:color="auto"/>
        <w:bottom w:val="none" w:sz="0" w:space="0" w:color="auto"/>
        <w:right w:val="none" w:sz="0" w:space="0" w:color="auto"/>
      </w:divBdr>
    </w:div>
    <w:div w:id="412704529">
      <w:bodyDiv w:val="1"/>
      <w:marLeft w:val="0"/>
      <w:marRight w:val="0"/>
      <w:marTop w:val="0"/>
      <w:marBottom w:val="0"/>
      <w:divBdr>
        <w:top w:val="none" w:sz="0" w:space="0" w:color="auto"/>
        <w:left w:val="none" w:sz="0" w:space="0" w:color="auto"/>
        <w:bottom w:val="none" w:sz="0" w:space="0" w:color="auto"/>
        <w:right w:val="none" w:sz="0" w:space="0" w:color="auto"/>
      </w:divBdr>
    </w:div>
    <w:div w:id="416172264">
      <w:bodyDiv w:val="1"/>
      <w:marLeft w:val="0"/>
      <w:marRight w:val="0"/>
      <w:marTop w:val="0"/>
      <w:marBottom w:val="0"/>
      <w:divBdr>
        <w:top w:val="none" w:sz="0" w:space="0" w:color="auto"/>
        <w:left w:val="none" w:sz="0" w:space="0" w:color="auto"/>
        <w:bottom w:val="none" w:sz="0" w:space="0" w:color="auto"/>
        <w:right w:val="none" w:sz="0" w:space="0" w:color="auto"/>
      </w:divBdr>
      <w:divsChild>
        <w:div w:id="318464571">
          <w:marLeft w:val="547"/>
          <w:marRight w:val="0"/>
          <w:marTop w:val="72"/>
          <w:marBottom w:val="0"/>
          <w:divBdr>
            <w:top w:val="none" w:sz="0" w:space="0" w:color="auto"/>
            <w:left w:val="none" w:sz="0" w:space="0" w:color="auto"/>
            <w:bottom w:val="none" w:sz="0" w:space="0" w:color="auto"/>
            <w:right w:val="none" w:sz="0" w:space="0" w:color="auto"/>
          </w:divBdr>
        </w:div>
        <w:div w:id="7298206">
          <w:marLeft w:val="547"/>
          <w:marRight w:val="0"/>
          <w:marTop w:val="72"/>
          <w:marBottom w:val="0"/>
          <w:divBdr>
            <w:top w:val="none" w:sz="0" w:space="0" w:color="auto"/>
            <w:left w:val="none" w:sz="0" w:space="0" w:color="auto"/>
            <w:bottom w:val="none" w:sz="0" w:space="0" w:color="auto"/>
            <w:right w:val="none" w:sz="0" w:space="0" w:color="auto"/>
          </w:divBdr>
        </w:div>
        <w:div w:id="671103247">
          <w:marLeft w:val="1080"/>
          <w:marRight w:val="0"/>
          <w:marTop w:val="67"/>
          <w:marBottom w:val="0"/>
          <w:divBdr>
            <w:top w:val="none" w:sz="0" w:space="0" w:color="auto"/>
            <w:left w:val="none" w:sz="0" w:space="0" w:color="auto"/>
            <w:bottom w:val="none" w:sz="0" w:space="0" w:color="auto"/>
            <w:right w:val="none" w:sz="0" w:space="0" w:color="auto"/>
          </w:divBdr>
        </w:div>
        <w:div w:id="2122138331">
          <w:marLeft w:val="1080"/>
          <w:marRight w:val="0"/>
          <w:marTop w:val="67"/>
          <w:marBottom w:val="0"/>
          <w:divBdr>
            <w:top w:val="none" w:sz="0" w:space="0" w:color="auto"/>
            <w:left w:val="none" w:sz="0" w:space="0" w:color="auto"/>
            <w:bottom w:val="none" w:sz="0" w:space="0" w:color="auto"/>
            <w:right w:val="none" w:sz="0" w:space="0" w:color="auto"/>
          </w:divBdr>
        </w:div>
        <w:div w:id="1104494228">
          <w:marLeft w:val="1080"/>
          <w:marRight w:val="0"/>
          <w:marTop w:val="67"/>
          <w:marBottom w:val="0"/>
          <w:divBdr>
            <w:top w:val="none" w:sz="0" w:space="0" w:color="auto"/>
            <w:left w:val="none" w:sz="0" w:space="0" w:color="auto"/>
            <w:bottom w:val="none" w:sz="0" w:space="0" w:color="auto"/>
            <w:right w:val="none" w:sz="0" w:space="0" w:color="auto"/>
          </w:divBdr>
        </w:div>
        <w:div w:id="975187481">
          <w:marLeft w:val="547"/>
          <w:marRight w:val="0"/>
          <w:marTop w:val="72"/>
          <w:marBottom w:val="0"/>
          <w:divBdr>
            <w:top w:val="none" w:sz="0" w:space="0" w:color="auto"/>
            <w:left w:val="none" w:sz="0" w:space="0" w:color="auto"/>
            <w:bottom w:val="none" w:sz="0" w:space="0" w:color="auto"/>
            <w:right w:val="none" w:sz="0" w:space="0" w:color="auto"/>
          </w:divBdr>
        </w:div>
        <w:div w:id="1937978971">
          <w:marLeft w:val="994"/>
          <w:marRight w:val="0"/>
          <w:marTop w:val="67"/>
          <w:marBottom w:val="0"/>
          <w:divBdr>
            <w:top w:val="none" w:sz="0" w:space="0" w:color="auto"/>
            <w:left w:val="none" w:sz="0" w:space="0" w:color="auto"/>
            <w:bottom w:val="none" w:sz="0" w:space="0" w:color="auto"/>
            <w:right w:val="none" w:sz="0" w:space="0" w:color="auto"/>
          </w:divBdr>
        </w:div>
        <w:div w:id="1198203353">
          <w:marLeft w:val="994"/>
          <w:marRight w:val="0"/>
          <w:marTop w:val="67"/>
          <w:marBottom w:val="0"/>
          <w:divBdr>
            <w:top w:val="none" w:sz="0" w:space="0" w:color="auto"/>
            <w:left w:val="none" w:sz="0" w:space="0" w:color="auto"/>
            <w:bottom w:val="none" w:sz="0" w:space="0" w:color="auto"/>
            <w:right w:val="none" w:sz="0" w:space="0" w:color="auto"/>
          </w:divBdr>
        </w:div>
        <w:div w:id="922688609">
          <w:marLeft w:val="547"/>
          <w:marRight w:val="0"/>
          <w:marTop w:val="72"/>
          <w:marBottom w:val="0"/>
          <w:divBdr>
            <w:top w:val="none" w:sz="0" w:space="0" w:color="auto"/>
            <w:left w:val="none" w:sz="0" w:space="0" w:color="auto"/>
            <w:bottom w:val="none" w:sz="0" w:space="0" w:color="auto"/>
            <w:right w:val="none" w:sz="0" w:space="0" w:color="auto"/>
          </w:divBdr>
        </w:div>
        <w:div w:id="578098024">
          <w:marLeft w:val="1080"/>
          <w:marRight w:val="0"/>
          <w:marTop w:val="67"/>
          <w:marBottom w:val="0"/>
          <w:divBdr>
            <w:top w:val="none" w:sz="0" w:space="0" w:color="auto"/>
            <w:left w:val="none" w:sz="0" w:space="0" w:color="auto"/>
            <w:bottom w:val="none" w:sz="0" w:space="0" w:color="auto"/>
            <w:right w:val="none" w:sz="0" w:space="0" w:color="auto"/>
          </w:divBdr>
        </w:div>
        <w:div w:id="138301527">
          <w:marLeft w:val="1080"/>
          <w:marRight w:val="0"/>
          <w:marTop w:val="67"/>
          <w:marBottom w:val="0"/>
          <w:divBdr>
            <w:top w:val="none" w:sz="0" w:space="0" w:color="auto"/>
            <w:left w:val="none" w:sz="0" w:space="0" w:color="auto"/>
            <w:bottom w:val="none" w:sz="0" w:space="0" w:color="auto"/>
            <w:right w:val="none" w:sz="0" w:space="0" w:color="auto"/>
          </w:divBdr>
        </w:div>
        <w:div w:id="81950198">
          <w:marLeft w:val="547"/>
          <w:marRight w:val="0"/>
          <w:marTop w:val="72"/>
          <w:marBottom w:val="0"/>
          <w:divBdr>
            <w:top w:val="none" w:sz="0" w:space="0" w:color="auto"/>
            <w:left w:val="none" w:sz="0" w:space="0" w:color="auto"/>
            <w:bottom w:val="none" w:sz="0" w:space="0" w:color="auto"/>
            <w:right w:val="none" w:sz="0" w:space="0" w:color="auto"/>
          </w:divBdr>
        </w:div>
        <w:div w:id="1714768021">
          <w:marLeft w:val="1080"/>
          <w:marRight w:val="0"/>
          <w:marTop w:val="67"/>
          <w:marBottom w:val="0"/>
          <w:divBdr>
            <w:top w:val="none" w:sz="0" w:space="0" w:color="auto"/>
            <w:left w:val="none" w:sz="0" w:space="0" w:color="auto"/>
            <w:bottom w:val="none" w:sz="0" w:space="0" w:color="auto"/>
            <w:right w:val="none" w:sz="0" w:space="0" w:color="auto"/>
          </w:divBdr>
        </w:div>
        <w:div w:id="102770348">
          <w:marLeft w:val="1080"/>
          <w:marRight w:val="0"/>
          <w:marTop w:val="67"/>
          <w:marBottom w:val="0"/>
          <w:divBdr>
            <w:top w:val="none" w:sz="0" w:space="0" w:color="auto"/>
            <w:left w:val="none" w:sz="0" w:space="0" w:color="auto"/>
            <w:bottom w:val="none" w:sz="0" w:space="0" w:color="auto"/>
            <w:right w:val="none" w:sz="0" w:space="0" w:color="auto"/>
          </w:divBdr>
        </w:div>
      </w:divsChild>
    </w:div>
    <w:div w:id="482310241">
      <w:bodyDiv w:val="1"/>
      <w:marLeft w:val="0"/>
      <w:marRight w:val="0"/>
      <w:marTop w:val="0"/>
      <w:marBottom w:val="0"/>
      <w:divBdr>
        <w:top w:val="none" w:sz="0" w:space="0" w:color="auto"/>
        <w:left w:val="none" w:sz="0" w:space="0" w:color="auto"/>
        <w:bottom w:val="none" w:sz="0" w:space="0" w:color="auto"/>
        <w:right w:val="none" w:sz="0" w:space="0" w:color="auto"/>
      </w:divBdr>
    </w:div>
    <w:div w:id="489564854">
      <w:bodyDiv w:val="1"/>
      <w:marLeft w:val="0"/>
      <w:marRight w:val="0"/>
      <w:marTop w:val="0"/>
      <w:marBottom w:val="0"/>
      <w:divBdr>
        <w:top w:val="none" w:sz="0" w:space="0" w:color="auto"/>
        <w:left w:val="none" w:sz="0" w:space="0" w:color="auto"/>
        <w:bottom w:val="none" w:sz="0" w:space="0" w:color="auto"/>
        <w:right w:val="none" w:sz="0" w:space="0" w:color="auto"/>
      </w:divBdr>
    </w:div>
    <w:div w:id="620188854">
      <w:bodyDiv w:val="1"/>
      <w:marLeft w:val="0"/>
      <w:marRight w:val="0"/>
      <w:marTop w:val="0"/>
      <w:marBottom w:val="0"/>
      <w:divBdr>
        <w:top w:val="none" w:sz="0" w:space="0" w:color="auto"/>
        <w:left w:val="none" w:sz="0" w:space="0" w:color="auto"/>
        <w:bottom w:val="none" w:sz="0" w:space="0" w:color="auto"/>
        <w:right w:val="none" w:sz="0" w:space="0" w:color="auto"/>
      </w:divBdr>
    </w:div>
    <w:div w:id="660084022">
      <w:bodyDiv w:val="1"/>
      <w:marLeft w:val="0"/>
      <w:marRight w:val="0"/>
      <w:marTop w:val="0"/>
      <w:marBottom w:val="0"/>
      <w:divBdr>
        <w:top w:val="none" w:sz="0" w:space="0" w:color="auto"/>
        <w:left w:val="none" w:sz="0" w:space="0" w:color="auto"/>
        <w:bottom w:val="none" w:sz="0" w:space="0" w:color="auto"/>
        <w:right w:val="none" w:sz="0" w:space="0" w:color="auto"/>
      </w:divBdr>
    </w:div>
    <w:div w:id="682366363">
      <w:bodyDiv w:val="1"/>
      <w:marLeft w:val="0"/>
      <w:marRight w:val="0"/>
      <w:marTop w:val="0"/>
      <w:marBottom w:val="0"/>
      <w:divBdr>
        <w:top w:val="none" w:sz="0" w:space="0" w:color="auto"/>
        <w:left w:val="none" w:sz="0" w:space="0" w:color="auto"/>
        <w:bottom w:val="none" w:sz="0" w:space="0" w:color="auto"/>
        <w:right w:val="none" w:sz="0" w:space="0" w:color="auto"/>
      </w:divBdr>
    </w:div>
    <w:div w:id="712576108">
      <w:bodyDiv w:val="1"/>
      <w:marLeft w:val="0"/>
      <w:marRight w:val="0"/>
      <w:marTop w:val="0"/>
      <w:marBottom w:val="0"/>
      <w:divBdr>
        <w:top w:val="none" w:sz="0" w:space="0" w:color="auto"/>
        <w:left w:val="none" w:sz="0" w:space="0" w:color="auto"/>
        <w:bottom w:val="none" w:sz="0" w:space="0" w:color="auto"/>
        <w:right w:val="none" w:sz="0" w:space="0" w:color="auto"/>
      </w:divBdr>
    </w:div>
    <w:div w:id="719406906">
      <w:bodyDiv w:val="1"/>
      <w:marLeft w:val="0"/>
      <w:marRight w:val="0"/>
      <w:marTop w:val="0"/>
      <w:marBottom w:val="0"/>
      <w:divBdr>
        <w:top w:val="none" w:sz="0" w:space="0" w:color="auto"/>
        <w:left w:val="none" w:sz="0" w:space="0" w:color="auto"/>
        <w:bottom w:val="none" w:sz="0" w:space="0" w:color="auto"/>
        <w:right w:val="none" w:sz="0" w:space="0" w:color="auto"/>
      </w:divBdr>
    </w:div>
    <w:div w:id="743717743">
      <w:bodyDiv w:val="1"/>
      <w:marLeft w:val="0"/>
      <w:marRight w:val="0"/>
      <w:marTop w:val="0"/>
      <w:marBottom w:val="0"/>
      <w:divBdr>
        <w:top w:val="none" w:sz="0" w:space="0" w:color="auto"/>
        <w:left w:val="none" w:sz="0" w:space="0" w:color="auto"/>
        <w:bottom w:val="none" w:sz="0" w:space="0" w:color="auto"/>
        <w:right w:val="none" w:sz="0" w:space="0" w:color="auto"/>
      </w:divBdr>
    </w:div>
    <w:div w:id="787434145">
      <w:bodyDiv w:val="1"/>
      <w:marLeft w:val="0"/>
      <w:marRight w:val="0"/>
      <w:marTop w:val="0"/>
      <w:marBottom w:val="0"/>
      <w:divBdr>
        <w:top w:val="none" w:sz="0" w:space="0" w:color="auto"/>
        <w:left w:val="none" w:sz="0" w:space="0" w:color="auto"/>
        <w:bottom w:val="none" w:sz="0" w:space="0" w:color="auto"/>
        <w:right w:val="none" w:sz="0" w:space="0" w:color="auto"/>
      </w:divBdr>
    </w:div>
    <w:div w:id="909191273">
      <w:bodyDiv w:val="1"/>
      <w:marLeft w:val="0"/>
      <w:marRight w:val="0"/>
      <w:marTop w:val="0"/>
      <w:marBottom w:val="0"/>
      <w:divBdr>
        <w:top w:val="none" w:sz="0" w:space="0" w:color="auto"/>
        <w:left w:val="none" w:sz="0" w:space="0" w:color="auto"/>
        <w:bottom w:val="none" w:sz="0" w:space="0" w:color="auto"/>
        <w:right w:val="none" w:sz="0" w:space="0" w:color="auto"/>
      </w:divBdr>
    </w:div>
    <w:div w:id="963652379">
      <w:bodyDiv w:val="1"/>
      <w:marLeft w:val="0"/>
      <w:marRight w:val="0"/>
      <w:marTop w:val="0"/>
      <w:marBottom w:val="0"/>
      <w:divBdr>
        <w:top w:val="none" w:sz="0" w:space="0" w:color="auto"/>
        <w:left w:val="none" w:sz="0" w:space="0" w:color="auto"/>
        <w:bottom w:val="none" w:sz="0" w:space="0" w:color="auto"/>
        <w:right w:val="none" w:sz="0" w:space="0" w:color="auto"/>
      </w:divBdr>
    </w:div>
    <w:div w:id="1021132086">
      <w:bodyDiv w:val="1"/>
      <w:marLeft w:val="0"/>
      <w:marRight w:val="0"/>
      <w:marTop w:val="0"/>
      <w:marBottom w:val="0"/>
      <w:divBdr>
        <w:top w:val="none" w:sz="0" w:space="0" w:color="auto"/>
        <w:left w:val="none" w:sz="0" w:space="0" w:color="auto"/>
        <w:bottom w:val="none" w:sz="0" w:space="0" w:color="auto"/>
        <w:right w:val="none" w:sz="0" w:space="0" w:color="auto"/>
      </w:divBdr>
    </w:div>
    <w:div w:id="1133404023">
      <w:bodyDiv w:val="1"/>
      <w:marLeft w:val="0"/>
      <w:marRight w:val="0"/>
      <w:marTop w:val="0"/>
      <w:marBottom w:val="0"/>
      <w:divBdr>
        <w:top w:val="none" w:sz="0" w:space="0" w:color="auto"/>
        <w:left w:val="none" w:sz="0" w:space="0" w:color="auto"/>
        <w:bottom w:val="none" w:sz="0" w:space="0" w:color="auto"/>
        <w:right w:val="none" w:sz="0" w:space="0" w:color="auto"/>
      </w:divBdr>
    </w:div>
    <w:div w:id="1140341540">
      <w:bodyDiv w:val="1"/>
      <w:marLeft w:val="0"/>
      <w:marRight w:val="0"/>
      <w:marTop w:val="0"/>
      <w:marBottom w:val="0"/>
      <w:divBdr>
        <w:top w:val="none" w:sz="0" w:space="0" w:color="auto"/>
        <w:left w:val="none" w:sz="0" w:space="0" w:color="auto"/>
        <w:bottom w:val="none" w:sz="0" w:space="0" w:color="auto"/>
        <w:right w:val="none" w:sz="0" w:space="0" w:color="auto"/>
      </w:divBdr>
    </w:div>
    <w:div w:id="1262301543">
      <w:bodyDiv w:val="1"/>
      <w:marLeft w:val="0"/>
      <w:marRight w:val="0"/>
      <w:marTop w:val="0"/>
      <w:marBottom w:val="0"/>
      <w:divBdr>
        <w:top w:val="none" w:sz="0" w:space="0" w:color="auto"/>
        <w:left w:val="none" w:sz="0" w:space="0" w:color="auto"/>
        <w:bottom w:val="none" w:sz="0" w:space="0" w:color="auto"/>
        <w:right w:val="none" w:sz="0" w:space="0" w:color="auto"/>
      </w:divBdr>
    </w:div>
    <w:div w:id="1272980901">
      <w:bodyDiv w:val="1"/>
      <w:marLeft w:val="0"/>
      <w:marRight w:val="0"/>
      <w:marTop w:val="0"/>
      <w:marBottom w:val="0"/>
      <w:divBdr>
        <w:top w:val="none" w:sz="0" w:space="0" w:color="auto"/>
        <w:left w:val="none" w:sz="0" w:space="0" w:color="auto"/>
        <w:bottom w:val="none" w:sz="0" w:space="0" w:color="auto"/>
        <w:right w:val="none" w:sz="0" w:space="0" w:color="auto"/>
      </w:divBdr>
    </w:div>
    <w:div w:id="1383597649">
      <w:bodyDiv w:val="1"/>
      <w:marLeft w:val="0"/>
      <w:marRight w:val="0"/>
      <w:marTop w:val="0"/>
      <w:marBottom w:val="0"/>
      <w:divBdr>
        <w:top w:val="none" w:sz="0" w:space="0" w:color="auto"/>
        <w:left w:val="none" w:sz="0" w:space="0" w:color="auto"/>
        <w:bottom w:val="none" w:sz="0" w:space="0" w:color="auto"/>
        <w:right w:val="none" w:sz="0" w:space="0" w:color="auto"/>
      </w:divBdr>
    </w:div>
    <w:div w:id="1392776844">
      <w:bodyDiv w:val="1"/>
      <w:marLeft w:val="0"/>
      <w:marRight w:val="0"/>
      <w:marTop w:val="0"/>
      <w:marBottom w:val="0"/>
      <w:divBdr>
        <w:top w:val="none" w:sz="0" w:space="0" w:color="auto"/>
        <w:left w:val="none" w:sz="0" w:space="0" w:color="auto"/>
        <w:bottom w:val="none" w:sz="0" w:space="0" w:color="auto"/>
        <w:right w:val="none" w:sz="0" w:space="0" w:color="auto"/>
      </w:divBdr>
    </w:div>
    <w:div w:id="1454134811">
      <w:bodyDiv w:val="1"/>
      <w:marLeft w:val="0"/>
      <w:marRight w:val="0"/>
      <w:marTop w:val="0"/>
      <w:marBottom w:val="0"/>
      <w:divBdr>
        <w:top w:val="none" w:sz="0" w:space="0" w:color="auto"/>
        <w:left w:val="none" w:sz="0" w:space="0" w:color="auto"/>
        <w:bottom w:val="none" w:sz="0" w:space="0" w:color="auto"/>
        <w:right w:val="none" w:sz="0" w:space="0" w:color="auto"/>
      </w:divBdr>
    </w:div>
    <w:div w:id="1471166840">
      <w:bodyDiv w:val="1"/>
      <w:marLeft w:val="0"/>
      <w:marRight w:val="0"/>
      <w:marTop w:val="0"/>
      <w:marBottom w:val="0"/>
      <w:divBdr>
        <w:top w:val="none" w:sz="0" w:space="0" w:color="auto"/>
        <w:left w:val="none" w:sz="0" w:space="0" w:color="auto"/>
        <w:bottom w:val="none" w:sz="0" w:space="0" w:color="auto"/>
        <w:right w:val="none" w:sz="0" w:space="0" w:color="auto"/>
      </w:divBdr>
    </w:div>
    <w:div w:id="1540123455">
      <w:bodyDiv w:val="1"/>
      <w:marLeft w:val="0"/>
      <w:marRight w:val="0"/>
      <w:marTop w:val="0"/>
      <w:marBottom w:val="0"/>
      <w:divBdr>
        <w:top w:val="none" w:sz="0" w:space="0" w:color="auto"/>
        <w:left w:val="none" w:sz="0" w:space="0" w:color="auto"/>
        <w:bottom w:val="none" w:sz="0" w:space="0" w:color="auto"/>
        <w:right w:val="none" w:sz="0" w:space="0" w:color="auto"/>
      </w:divBdr>
    </w:div>
    <w:div w:id="1543135266">
      <w:bodyDiv w:val="1"/>
      <w:marLeft w:val="0"/>
      <w:marRight w:val="0"/>
      <w:marTop w:val="0"/>
      <w:marBottom w:val="0"/>
      <w:divBdr>
        <w:top w:val="none" w:sz="0" w:space="0" w:color="auto"/>
        <w:left w:val="none" w:sz="0" w:space="0" w:color="auto"/>
        <w:bottom w:val="none" w:sz="0" w:space="0" w:color="auto"/>
        <w:right w:val="none" w:sz="0" w:space="0" w:color="auto"/>
      </w:divBdr>
    </w:div>
    <w:div w:id="1634361663">
      <w:bodyDiv w:val="1"/>
      <w:marLeft w:val="0"/>
      <w:marRight w:val="0"/>
      <w:marTop w:val="0"/>
      <w:marBottom w:val="0"/>
      <w:divBdr>
        <w:top w:val="none" w:sz="0" w:space="0" w:color="auto"/>
        <w:left w:val="none" w:sz="0" w:space="0" w:color="auto"/>
        <w:bottom w:val="none" w:sz="0" w:space="0" w:color="auto"/>
        <w:right w:val="none" w:sz="0" w:space="0" w:color="auto"/>
      </w:divBdr>
    </w:div>
    <w:div w:id="1647398350">
      <w:bodyDiv w:val="1"/>
      <w:marLeft w:val="0"/>
      <w:marRight w:val="0"/>
      <w:marTop w:val="0"/>
      <w:marBottom w:val="0"/>
      <w:divBdr>
        <w:top w:val="none" w:sz="0" w:space="0" w:color="auto"/>
        <w:left w:val="none" w:sz="0" w:space="0" w:color="auto"/>
        <w:bottom w:val="none" w:sz="0" w:space="0" w:color="auto"/>
        <w:right w:val="none" w:sz="0" w:space="0" w:color="auto"/>
      </w:divBdr>
    </w:div>
    <w:div w:id="1731536874">
      <w:bodyDiv w:val="1"/>
      <w:marLeft w:val="0"/>
      <w:marRight w:val="0"/>
      <w:marTop w:val="0"/>
      <w:marBottom w:val="0"/>
      <w:divBdr>
        <w:top w:val="none" w:sz="0" w:space="0" w:color="auto"/>
        <w:left w:val="none" w:sz="0" w:space="0" w:color="auto"/>
        <w:bottom w:val="none" w:sz="0" w:space="0" w:color="auto"/>
        <w:right w:val="none" w:sz="0" w:space="0" w:color="auto"/>
      </w:divBdr>
    </w:div>
    <w:div w:id="1768963807">
      <w:bodyDiv w:val="1"/>
      <w:marLeft w:val="0"/>
      <w:marRight w:val="0"/>
      <w:marTop w:val="0"/>
      <w:marBottom w:val="0"/>
      <w:divBdr>
        <w:top w:val="none" w:sz="0" w:space="0" w:color="auto"/>
        <w:left w:val="none" w:sz="0" w:space="0" w:color="auto"/>
        <w:bottom w:val="none" w:sz="0" w:space="0" w:color="auto"/>
        <w:right w:val="none" w:sz="0" w:space="0" w:color="auto"/>
      </w:divBdr>
    </w:div>
    <w:div w:id="1775783351">
      <w:bodyDiv w:val="1"/>
      <w:marLeft w:val="0"/>
      <w:marRight w:val="0"/>
      <w:marTop w:val="0"/>
      <w:marBottom w:val="0"/>
      <w:divBdr>
        <w:top w:val="none" w:sz="0" w:space="0" w:color="auto"/>
        <w:left w:val="none" w:sz="0" w:space="0" w:color="auto"/>
        <w:bottom w:val="none" w:sz="0" w:space="0" w:color="auto"/>
        <w:right w:val="none" w:sz="0" w:space="0" w:color="auto"/>
      </w:divBdr>
    </w:div>
    <w:div w:id="1788964598">
      <w:bodyDiv w:val="1"/>
      <w:marLeft w:val="0"/>
      <w:marRight w:val="0"/>
      <w:marTop w:val="0"/>
      <w:marBottom w:val="0"/>
      <w:divBdr>
        <w:top w:val="none" w:sz="0" w:space="0" w:color="auto"/>
        <w:left w:val="none" w:sz="0" w:space="0" w:color="auto"/>
        <w:bottom w:val="none" w:sz="0" w:space="0" w:color="auto"/>
        <w:right w:val="none" w:sz="0" w:space="0" w:color="auto"/>
      </w:divBdr>
    </w:div>
    <w:div w:id="1849754251">
      <w:bodyDiv w:val="1"/>
      <w:marLeft w:val="0"/>
      <w:marRight w:val="0"/>
      <w:marTop w:val="0"/>
      <w:marBottom w:val="0"/>
      <w:divBdr>
        <w:top w:val="none" w:sz="0" w:space="0" w:color="auto"/>
        <w:left w:val="none" w:sz="0" w:space="0" w:color="auto"/>
        <w:bottom w:val="none" w:sz="0" w:space="0" w:color="auto"/>
        <w:right w:val="none" w:sz="0" w:space="0" w:color="auto"/>
      </w:divBdr>
    </w:div>
    <w:div w:id="1869952386">
      <w:bodyDiv w:val="1"/>
      <w:marLeft w:val="0"/>
      <w:marRight w:val="0"/>
      <w:marTop w:val="0"/>
      <w:marBottom w:val="0"/>
      <w:divBdr>
        <w:top w:val="none" w:sz="0" w:space="0" w:color="auto"/>
        <w:left w:val="none" w:sz="0" w:space="0" w:color="auto"/>
        <w:bottom w:val="none" w:sz="0" w:space="0" w:color="auto"/>
        <w:right w:val="none" w:sz="0" w:space="0" w:color="auto"/>
      </w:divBdr>
    </w:div>
    <w:div w:id="1909608928">
      <w:bodyDiv w:val="1"/>
      <w:marLeft w:val="0"/>
      <w:marRight w:val="0"/>
      <w:marTop w:val="0"/>
      <w:marBottom w:val="0"/>
      <w:divBdr>
        <w:top w:val="none" w:sz="0" w:space="0" w:color="auto"/>
        <w:left w:val="none" w:sz="0" w:space="0" w:color="auto"/>
        <w:bottom w:val="none" w:sz="0" w:space="0" w:color="auto"/>
        <w:right w:val="none" w:sz="0" w:space="0" w:color="auto"/>
      </w:divBdr>
    </w:div>
    <w:div w:id="1925069613">
      <w:bodyDiv w:val="1"/>
      <w:marLeft w:val="0"/>
      <w:marRight w:val="0"/>
      <w:marTop w:val="0"/>
      <w:marBottom w:val="0"/>
      <w:divBdr>
        <w:top w:val="none" w:sz="0" w:space="0" w:color="auto"/>
        <w:left w:val="none" w:sz="0" w:space="0" w:color="auto"/>
        <w:bottom w:val="none" w:sz="0" w:space="0" w:color="auto"/>
        <w:right w:val="none" w:sz="0" w:space="0" w:color="auto"/>
      </w:divBdr>
    </w:div>
    <w:div w:id="1948657630">
      <w:bodyDiv w:val="1"/>
      <w:marLeft w:val="0"/>
      <w:marRight w:val="0"/>
      <w:marTop w:val="0"/>
      <w:marBottom w:val="0"/>
      <w:divBdr>
        <w:top w:val="none" w:sz="0" w:space="0" w:color="auto"/>
        <w:left w:val="none" w:sz="0" w:space="0" w:color="auto"/>
        <w:bottom w:val="none" w:sz="0" w:space="0" w:color="auto"/>
        <w:right w:val="none" w:sz="0" w:space="0" w:color="auto"/>
      </w:divBdr>
    </w:div>
    <w:div w:id="2006589515">
      <w:bodyDiv w:val="1"/>
      <w:marLeft w:val="0"/>
      <w:marRight w:val="0"/>
      <w:marTop w:val="0"/>
      <w:marBottom w:val="0"/>
      <w:divBdr>
        <w:top w:val="none" w:sz="0" w:space="0" w:color="auto"/>
        <w:left w:val="none" w:sz="0" w:space="0" w:color="auto"/>
        <w:bottom w:val="none" w:sz="0" w:space="0" w:color="auto"/>
        <w:right w:val="none" w:sz="0" w:space="0" w:color="auto"/>
      </w:divBdr>
    </w:div>
    <w:div w:id="2062557187">
      <w:bodyDiv w:val="1"/>
      <w:marLeft w:val="0"/>
      <w:marRight w:val="0"/>
      <w:marTop w:val="0"/>
      <w:marBottom w:val="0"/>
      <w:divBdr>
        <w:top w:val="none" w:sz="0" w:space="0" w:color="auto"/>
        <w:left w:val="none" w:sz="0" w:space="0" w:color="auto"/>
        <w:bottom w:val="none" w:sz="0" w:space="0" w:color="auto"/>
        <w:right w:val="none" w:sz="0" w:space="0" w:color="auto"/>
      </w:divBdr>
    </w:div>
    <w:div w:id="2066250891">
      <w:bodyDiv w:val="1"/>
      <w:marLeft w:val="0"/>
      <w:marRight w:val="0"/>
      <w:marTop w:val="0"/>
      <w:marBottom w:val="0"/>
      <w:divBdr>
        <w:top w:val="none" w:sz="0" w:space="0" w:color="auto"/>
        <w:left w:val="none" w:sz="0" w:space="0" w:color="auto"/>
        <w:bottom w:val="none" w:sz="0" w:space="0" w:color="auto"/>
        <w:right w:val="none" w:sz="0" w:space="0" w:color="auto"/>
      </w:divBdr>
    </w:div>
    <w:div w:id="21324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2DC5DDE5D554C9341973E41EB9010" ma:contentTypeVersion="13" ma:contentTypeDescription="Een nieuw document maken." ma:contentTypeScope="" ma:versionID="2d659249b9f6243c80d12b4358997165">
  <xsd:schema xmlns:xsd="http://www.w3.org/2001/XMLSchema" xmlns:xs="http://www.w3.org/2001/XMLSchema" xmlns:p="http://schemas.microsoft.com/office/2006/metadata/properties" xmlns:ns3="35a1a8bb-0f8f-4d3b-87d3-a606a0da3ed4" xmlns:ns4="f0415ecc-c898-49e0-946a-c19ba89d6393" targetNamespace="http://schemas.microsoft.com/office/2006/metadata/properties" ma:root="true" ma:fieldsID="16950c19b36608460465bfae4964182d" ns3:_="" ns4:_="">
    <xsd:import namespace="35a1a8bb-0f8f-4d3b-87d3-a606a0da3ed4"/>
    <xsd:import namespace="f0415ecc-c898-49e0-946a-c19ba89d63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1a8bb-0f8f-4d3b-87d3-a606a0da3e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15ecc-c898-49e0-946a-c19ba89d6393"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052F-EEEA-43A1-A932-515AC1D0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1a8bb-0f8f-4d3b-87d3-a606a0da3ed4"/>
    <ds:schemaRef ds:uri="f0415ecc-c898-49e0-946a-c19ba89d6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9E605-2DCC-404F-970C-7461C19A0A84}">
  <ds:schemaRefs>
    <ds:schemaRef ds:uri="http://schemas.microsoft.com/sharepoint/v3/contenttype/forms"/>
  </ds:schemaRefs>
</ds:datastoreItem>
</file>

<file path=customXml/itemProps3.xml><?xml version="1.0" encoding="utf-8"?>
<ds:datastoreItem xmlns:ds="http://schemas.openxmlformats.org/officeDocument/2006/customXml" ds:itemID="{0E1322E0-85D9-47EA-81C2-AF5A2A0CBEA8}">
  <ds:schemaRefs>
    <ds:schemaRef ds:uri="http://purl.org/dc/terms/"/>
    <ds:schemaRef ds:uri="http://schemas.openxmlformats.org/package/2006/metadata/core-properties"/>
    <ds:schemaRef ds:uri="http://schemas.microsoft.com/office/2006/documentManagement/types"/>
    <ds:schemaRef ds:uri="f0415ecc-c898-49e0-946a-c19ba89d6393"/>
    <ds:schemaRef ds:uri="35a1a8bb-0f8f-4d3b-87d3-a606a0da3ed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0FA230C-8ED7-43CC-83F5-F8B0A158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3104</Words>
  <Characters>19560</Characters>
  <Application>Microsoft Office Word</Application>
  <DocSecurity>0</DocSecurity>
  <Lines>163</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Coherent EU industry and energy policy will ensure a carbon neutral future</vt:lpstr>
      <vt:lpstr>Coherent EU industry and energy policy will ensure a carbon neutral future</vt:lpstr>
    </vt:vector>
  </TitlesOfParts>
  <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Coherent EU industry and energy policy will ensure a carbon neutral future</dc:title>
  <dc:creator>Meuzelaar, Dirk-Jan</dc:creator>
  <cp:keywords>IFIEC</cp:keywords>
  <cp:lastModifiedBy>Jochen Wagner</cp:lastModifiedBy>
  <cp:revision>3</cp:revision>
  <dcterms:created xsi:type="dcterms:W3CDTF">2020-11-09T09:32:00Z</dcterms:created>
  <dcterms:modified xsi:type="dcterms:W3CDTF">2020-11-11T08:45:00Z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0x0101006102DC5DDE5D554C9341973E41EB9010</vt:lpwstr>
  </property>
  <property fmtid="{D5CDD505-2E9C-101B-9397-08002B2CF9AE}" pid="3" name="Classification_to_AIP">
    <vt:i4>0</vt:i4>
  </property>
</Properties>
</file>