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346AC" w14:textId="77777777" w:rsidR="005677E2" w:rsidRPr="00DD7742" w:rsidRDefault="00DD7742" w:rsidP="00EB3908">
      <w:pPr>
        <w:jc w:val="both"/>
        <w:rPr>
          <w:b/>
          <w:bCs/>
          <w:sz w:val="28"/>
          <w:szCs w:val="28"/>
        </w:rPr>
      </w:pPr>
      <w:r w:rsidRPr="00DD7742">
        <w:rPr>
          <w:b/>
          <w:bCs/>
          <w:sz w:val="28"/>
          <w:szCs w:val="28"/>
        </w:rPr>
        <w:t>IFIEC Europe’s answer to the ENTSO-e consultation on the Mid-term Adequacy Forecast 2019</w:t>
      </w:r>
    </w:p>
    <w:p w14:paraId="344AFFDD" w14:textId="77777777" w:rsidR="00DD7742" w:rsidRDefault="00DD7742" w:rsidP="00EB3908">
      <w:pPr>
        <w:jc w:val="both"/>
      </w:pPr>
    </w:p>
    <w:p w14:paraId="3C4690C9" w14:textId="19DB8762" w:rsidR="006E14AA" w:rsidRDefault="00DD7742" w:rsidP="00EB3908">
      <w:pPr>
        <w:jc w:val="both"/>
      </w:pPr>
      <w:r>
        <w:t>With respect to the ENTSO-e consultation on the Mid-term Adequacy Forecast</w:t>
      </w:r>
      <w:r w:rsidR="00EE14F4">
        <w:t xml:space="preserve"> (MAF)</w:t>
      </w:r>
      <w:r>
        <w:t xml:space="preserve"> 2019, IFIEC Europe wants to </w:t>
      </w:r>
      <w:r w:rsidR="006E14AA">
        <w:t>provide its</w:t>
      </w:r>
      <w:r>
        <w:t xml:space="preserve"> comments </w:t>
      </w:r>
      <w:r w:rsidR="006E14AA">
        <w:t>on</w:t>
      </w:r>
      <w:r>
        <w:t xml:space="preserve"> the methodology (appendix 2). </w:t>
      </w:r>
    </w:p>
    <w:p w14:paraId="7A2D3E24" w14:textId="79F568DA" w:rsidR="00DD7742" w:rsidRDefault="00DD7742" w:rsidP="00EB3908">
      <w:pPr>
        <w:jc w:val="both"/>
      </w:pPr>
      <w:r>
        <w:t xml:space="preserve">IFIEC Europe regrets that an </w:t>
      </w:r>
      <w:r w:rsidR="006E14AA">
        <w:t xml:space="preserve">(IT) </w:t>
      </w:r>
      <w:r>
        <w:t>error</w:t>
      </w:r>
      <w:r w:rsidR="006E14AA">
        <w:rPr>
          <w:rStyle w:val="FootnoteReference"/>
        </w:rPr>
        <w:footnoteReference w:id="2"/>
      </w:r>
      <w:r>
        <w:t xml:space="preserve"> at the ENTSO-e side result</w:t>
      </w:r>
      <w:r w:rsidR="00244561">
        <w:t>ed</w:t>
      </w:r>
      <w:r>
        <w:t xml:space="preserve"> in exactly this methodology document not being publicly available </w:t>
      </w:r>
      <w:r w:rsidR="006E14AA">
        <w:t xml:space="preserve">until 13/01/2020, which was the date of the deadline for this consultation, </w:t>
      </w:r>
      <w:r>
        <w:t xml:space="preserve">and has </w:t>
      </w:r>
      <w:r w:rsidR="006E14AA">
        <w:t xml:space="preserve">as a result </w:t>
      </w:r>
      <w:r>
        <w:t xml:space="preserve">requested an extension of the deadline for this consultation. ENTSO-e approved </w:t>
      </w:r>
      <w:r w:rsidR="00C54433">
        <w:t>the requested</w:t>
      </w:r>
      <w:r>
        <w:t xml:space="preserve"> </w:t>
      </w:r>
      <w:r w:rsidR="00C54433">
        <w:t xml:space="preserve">deadline </w:t>
      </w:r>
      <w:r>
        <w:t>extension for this consultation</w:t>
      </w:r>
      <w:r w:rsidR="00244561" w:rsidRPr="00244561">
        <w:t xml:space="preserve"> </w:t>
      </w:r>
      <w:r w:rsidR="00244561">
        <w:t>in written form</w:t>
      </w:r>
      <w:r w:rsidR="00244561" w:rsidRPr="00244561">
        <w:t xml:space="preserve"> </w:t>
      </w:r>
      <w:r w:rsidR="00244561">
        <w:t>on 13/01/2020</w:t>
      </w:r>
      <w:r>
        <w:t>, in order to allow</w:t>
      </w:r>
      <w:r w:rsidR="006E14AA">
        <w:t xml:space="preserve"> </w:t>
      </w:r>
      <w:r w:rsidR="00C54433">
        <w:t xml:space="preserve">for </w:t>
      </w:r>
      <w:r w:rsidR="006E14AA">
        <w:t>sufficient</w:t>
      </w:r>
      <w:r>
        <w:t xml:space="preserve"> time to analyse the methodology document.</w:t>
      </w:r>
    </w:p>
    <w:p w14:paraId="34B5E417" w14:textId="7452AE4D" w:rsidR="00DD7742" w:rsidRDefault="000251E9" w:rsidP="00EB3908">
      <w:pPr>
        <w:jc w:val="both"/>
      </w:pPr>
      <w:r>
        <w:t xml:space="preserve">IFIEC Europe </w:t>
      </w:r>
      <w:r w:rsidR="00EE14F4">
        <w:t>wants to raise</w:t>
      </w:r>
      <w:r>
        <w:t xml:space="preserve"> some </w:t>
      </w:r>
      <w:r w:rsidRPr="00EE14F4">
        <w:rPr>
          <w:b/>
          <w:bCs/>
        </w:rPr>
        <w:t>fundamental</w:t>
      </w:r>
      <w:r>
        <w:t xml:space="preserve"> </w:t>
      </w:r>
      <w:r w:rsidR="00083C72">
        <w:rPr>
          <w:b/>
          <w:bCs/>
        </w:rPr>
        <w:t>concerns</w:t>
      </w:r>
      <w:r>
        <w:t xml:space="preserve"> with the </w:t>
      </w:r>
      <w:r w:rsidR="00EE14F4">
        <w:t xml:space="preserve">MAF </w:t>
      </w:r>
      <w:r>
        <w:t xml:space="preserve">methodology </w:t>
      </w:r>
      <w:r w:rsidR="00083C72">
        <w:t>of</w:t>
      </w:r>
      <w:r>
        <w:t xml:space="preserve"> ENTSO-e; </w:t>
      </w:r>
      <w:r w:rsidR="00083C72">
        <w:t>IFIEC Europe</w:t>
      </w:r>
      <w:r>
        <w:t xml:space="preserve"> considers the MAF</w:t>
      </w:r>
      <w:r w:rsidR="00083C72">
        <w:t xml:space="preserve"> methodology not to</w:t>
      </w:r>
      <w:r>
        <w:t xml:space="preserve"> be balanced</w:t>
      </w:r>
      <w:r w:rsidR="00083C72">
        <w:t>, most notably</w:t>
      </w:r>
      <w:r>
        <w:t xml:space="preserve"> with respect to all available </w:t>
      </w:r>
      <w:r w:rsidR="00083C72">
        <w:t xml:space="preserve">sources of </w:t>
      </w:r>
      <w:r>
        <w:t xml:space="preserve">flexibility in the system, </w:t>
      </w:r>
      <w:r w:rsidR="00083C72">
        <w:t>in particular</w:t>
      </w:r>
      <w:r>
        <w:t xml:space="preserve"> with respect to </w:t>
      </w:r>
      <w:r w:rsidR="00083C72">
        <w:t xml:space="preserve">the methodological treatment of (implicit and explicit) </w:t>
      </w:r>
      <w:r>
        <w:t>demand side response. Moreover, IFIEC Europe can only observe and deplore that for ENTSO-e “</w:t>
      </w:r>
      <w:r w:rsidRPr="00AC69C9">
        <w:rPr>
          <w:i/>
          <w:iCs/>
        </w:rPr>
        <w:t xml:space="preserve">adequacy studies aim to evaluate a power system’s </w:t>
      </w:r>
      <w:r w:rsidRPr="00AC69C9">
        <w:rPr>
          <w:b/>
          <w:bCs/>
          <w:i/>
          <w:iCs/>
        </w:rPr>
        <w:t>available</w:t>
      </w:r>
      <w:r w:rsidR="00083C72">
        <w:rPr>
          <w:rStyle w:val="FootnoteReference"/>
          <w:b/>
          <w:bCs/>
          <w:i/>
          <w:iCs/>
        </w:rPr>
        <w:footnoteReference w:id="3"/>
      </w:r>
      <w:r w:rsidRPr="00AC69C9">
        <w:rPr>
          <w:i/>
          <w:iCs/>
        </w:rPr>
        <w:t xml:space="preserve"> resources and </w:t>
      </w:r>
      <w:r w:rsidRPr="00AC69C9">
        <w:rPr>
          <w:b/>
          <w:bCs/>
          <w:i/>
          <w:iCs/>
        </w:rPr>
        <w:t>projected</w:t>
      </w:r>
      <w:r w:rsidR="00083C72">
        <w:rPr>
          <w:rStyle w:val="FootnoteReference"/>
          <w:b/>
          <w:bCs/>
          <w:i/>
          <w:iCs/>
        </w:rPr>
        <w:footnoteReference w:id="4"/>
      </w:r>
      <w:r w:rsidRPr="00AC69C9">
        <w:rPr>
          <w:i/>
          <w:iCs/>
        </w:rPr>
        <w:t xml:space="preserve"> electric demands in order to identify potential risk of supply and demand mismatches in developed </w:t>
      </w:r>
      <w:r w:rsidR="00AC69C9" w:rsidRPr="00AC69C9">
        <w:rPr>
          <w:i/>
          <w:iCs/>
        </w:rPr>
        <w:t>scenarios</w:t>
      </w:r>
      <w:r>
        <w:t>”</w:t>
      </w:r>
      <w:r w:rsidR="00AC69C9">
        <w:t xml:space="preserve">, as for IFIEC Europe also </w:t>
      </w:r>
      <w:r w:rsidR="00AC69C9" w:rsidRPr="00083C72">
        <w:rPr>
          <w:b/>
          <w:bCs/>
        </w:rPr>
        <w:t>projected</w:t>
      </w:r>
      <w:r w:rsidR="00AC69C9">
        <w:t xml:space="preserve"> resources as well as </w:t>
      </w:r>
      <w:r w:rsidR="00104D9F">
        <w:t xml:space="preserve">implicit </w:t>
      </w:r>
      <w:r w:rsidR="00AC69C9">
        <w:t xml:space="preserve">and explicit </w:t>
      </w:r>
      <w:r w:rsidR="00AC69C9" w:rsidRPr="00083C72">
        <w:rPr>
          <w:b/>
          <w:bCs/>
        </w:rPr>
        <w:t>demand side response</w:t>
      </w:r>
      <w:r w:rsidR="00AC69C9">
        <w:t xml:space="preserve"> reduction potential (as opposed to mere demand patterns) should be taken into account</w:t>
      </w:r>
      <w:r w:rsidR="00083C72">
        <w:t xml:space="preserve"> in any forward looking system adequacy study</w:t>
      </w:r>
      <w:r w:rsidR="00AC69C9">
        <w:t xml:space="preserve">. IFIEC Europe also regrets that with respect to </w:t>
      </w:r>
      <w:r w:rsidR="00083C72">
        <w:t>“</w:t>
      </w:r>
      <w:r w:rsidR="00AC69C9" w:rsidRPr="00AC69C9">
        <w:rPr>
          <w:i/>
          <w:iCs/>
        </w:rPr>
        <w:t>techno-economic trends as well as policy decisions</w:t>
      </w:r>
      <w:r w:rsidR="00083C72">
        <w:rPr>
          <w:i/>
          <w:iCs/>
        </w:rPr>
        <w:t>”</w:t>
      </w:r>
      <w:r w:rsidR="00AC69C9">
        <w:t xml:space="preserve">, ENTSO-e only refers to “a </w:t>
      </w:r>
      <w:r w:rsidR="00AC69C9" w:rsidRPr="00AC69C9">
        <w:rPr>
          <w:i/>
          <w:iCs/>
        </w:rPr>
        <w:t>massive phase-out of certain generating technologies</w:t>
      </w:r>
      <w:r w:rsidR="00AC69C9">
        <w:t xml:space="preserve">”, but does not </w:t>
      </w:r>
      <w:r w:rsidR="00A95160">
        <w:t>take into account</w:t>
      </w:r>
      <w:r w:rsidR="00AC69C9">
        <w:t xml:space="preserve"> other policy decisions that also have</w:t>
      </w:r>
      <w:r w:rsidR="00104D9F">
        <w:t xml:space="preserve"> a</w:t>
      </w:r>
      <w:r w:rsidR="00AC69C9">
        <w:t xml:space="preserve"> major impact on the adequacy of the system, such as strategic reserves or even capacity remuneration mechanisms (more below).</w:t>
      </w:r>
      <w:r w:rsidR="00EB3908">
        <w:t xml:space="preserve"> IFIEC Europe is also</w:t>
      </w:r>
      <w:r w:rsidR="00BA2EB2">
        <w:t xml:space="preserve"> </w:t>
      </w:r>
      <w:r w:rsidR="00EB3908">
        <w:t>not satisfied with the way ENTSO-e is treating random events and the use of balancing reserves</w:t>
      </w:r>
      <w:r w:rsidR="004A30CA">
        <w:t xml:space="preserve">; </w:t>
      </w:r>
      <w:r w:rsidR="00EB3908">
        <w:t xml:space="preserve">balancing reserves </w:t>
      </w:r>
      <w:r w:rsidR="004A30CA">
        <w:t>exist</w:t>
      </w:r>
      <w:r w:rsidR="00EB3908">
        <w:t xml:space="preserve"> to cope with </w:t>
      </w:r>
      <w:r w:rsidR="004A30CA">
        <w:t xml:space="preserve">unexpected and random </w:t>
      </w:r>
      <w:r w:rsidR="00EB3908">
        <w:t xml:space="preserve">events and only if such events have a duration beyond balancing </w:t>
      </w:r>
      <w:r w:rsidR="00A95160">
        <w:t xml:space="preserve">time </w:t>
      </w:r>
      <w:r w:rsidR="00EB3908">
        <w:t xml:space="preserve">horizons </w:t>
      </w:r>
      <w:r w:rsidR="004A30CA">
        <w:t xml:space="preserve">such events </w:t>
      </w:r>
      <w:r w:rsidR="00EB3908">
        <w:t xml:space="preserve">should be taken into account for an adequacy </w:t>
      </w:r>
      <w:r w:rsidR="003E65DA">
        <w:t>assessment</w:t>
      </w:r>
      <w:r w:rsidR="004A30CA">
        <w:t xml:space="preserve"> </w:t>
      </w:r>
      <w:r w:rsidR="003E65DA">
        <w:t>( e.g. a power plant tripping and returning back to the market within a short timeframe does not create an adequacy issue, only a balancing issue)</w:t>
      </w:r>
      <w:r w:rsidR="004A30CA">
        <w:t>. F</w:t>
      </w:r>
      <w:r w:rsidR="003E65DA">
        <w:t>or IFIEC Europe, these issues are not sufficiently taken into account (or at the least not described in the methodology)</w:t>
      </w:r>
      <w:r w:rsidR="004A30CA">
        <w:t xml:space="preserve"> and thus leads to an overestimate of potential adequacy concerns as also events covered by (existing) balancing means will be added to the needs with respect to adequacy</w:t>
      </w:r>
      <w:r w:rsidR="003E65DA">
        <w:t xml:space="preserve">. </w:t>
      </w:r>
      <w:r w:rsidR="00A95160">
        <w:t xml:space="preserve">As a general remark on the MAF, </w:t>
      </w:r>
      <w:r w:rsidR="0031209D">
        <w:t>IF</w:t>
      </w:r>
      <w:r w:rsidR="00A95160">
        <w:t>IEC Europe regrets that the actual implications of the (summarily described) methodological elements towards a quantitative output are unclear; the MAF</w:t>
      </w:r>
      <w:r w:rsidR="0031209D">
        <w:t xml:space="preserve"> thus</w:t>
      </w:r>
      <w:r w:rsidR="00A95160">
        <w:t xml:space="preserve"> remains a b</w:t>
      </w:r>
      <w:r w:rsidR="00B83BB9">
        <w:t>l</w:t>
      </w:r>
      <w:r w:rsidR="00A95160">
        <w:t>ackbox approach for all parties except ENTSO-e</w:t>
      </w:r>
      <w:r w:rsidR="0031209D">
        <w:t>…</w:t>
      </w:r>
    </w:p>
    <w:p w14:paraId="54D63F5B" w14:textId="7E2E846D" w:rsidR="009C77D9" w:rsidRDefault="00BA2EB2" w:rsidP="00EB3908">
      <w:pPr>
        <w:jc w:val="both"/>
      </w:pPr>
      <w:r>
        <w:t>With respect to the modelling of demand</w:t>
      </w:r>
      <w:r w:rsidR="00A95160">
        <w:t>,</w:t>
      </w:r>
      <w:r>
        <w:t xml:space="preserve"> and even more so demand side response, IFIEC Europe does not </w:t>
      </w:r>
      <w:r w:rsidR="00A95160">
        <w:t xml:space="preserve">consider </w:t>
      </w:r>
      <w:r>
        <w:t xml:space="preserve">the methodology of ENTSO-e as </w:t>
      </w:r>
      <w:r w:rsidR="0031209D">
        <w:t>satisfactory</w:t>
      </w:r>
      <w:r>
        <w:t xml:space="preserve">. With respect to demand and demand </w:t>
      </w:r>
      <w:r w:rsidR="005A31EB">
        <w:t>elasticity</w:t>
      </w:r>
      <w:r>
        <w:t xml:space="preserve">, the ENTSO-e methodology remains very vague, only referring, without any methodological insight, to explicit demand side response, but completely omitting any impact of implicit demand side response, as if consumers </w:t>
      </w:r>
      <w:r w:rsidR="00A95160">
        <w:t>were</w:t>
      </w:r>
      <w:r>
        <w:t xml:space="preserve"> completely indifferent to prices (thus </w:t>
      </w:r>
      <w:r w:rsidR="00B83BB9">
        <w:t xml:space="preserve">presuming </w:t>
      </w:r>
      <w:r>
        <w:t xml:space="preserve">low </w:t>
      </w:r>
      <w:r w:rsidR="005A31EB">
        <w:t>elasticity</w:t>
      </w:r>
      <w:r>
        <w:t>)</w:t>
      </w:r>
      <w:r w:rsidR="00A95160">
        <w:t>. This is in any case</w:t>
      </w:r>
      <w:r>
        <w:t xml:space="preserve"> not </w:t>
      </w:r>
      <w:r w:rsidR="00B83BB9">
        <w:t xml:space="preserve">valid </w:t>
      </w:r>
      <w:r>
        <w:t>for industrial consumers</w:t>
      </w:r>
      <w:r w:rsidR="004C3F48">
        <w:t>, as can already be observed historically, and will also become less correct for other consumers as smart meters are being rolled out. In several Member States</w:t>
      </w:r>
      <w:r w:rsidR="00B83BB9">
        <w:t xml:space="preserve"> supply of</w:t>
      </w:r>
      <w:r w:rsidR="004C3F48">
        <w:t xml:space="preserve"> implicit and explicit demand side response</w:t>
      </w:r>
      <w:r>
        <w:t xml:space="preserve"> </w:t>
      </w:r>
      <w:r w:rsidR="004C3F48">
        <w:t>reach</w:t>
      </w:r>
      <w:r w:rsidR="00B83BB9">
        <w:t>es</w:t>
      </w:r>
      <w:r w:rsidR="004C3F48">
        <w:t xml:space="preserve"> considerable</w:t>
      </w:r>
      <w:r>
        <w:t xml:space="preserve"> levels (</w:t>
      </w:r>
      <w:r w:rsidR="004C3F48">
        <w:t xml:space="preserve">thus </w:t>
      </w:r>
      <w:r w:rsidR="005A31EB">
        <w:t>indicating</w:t>
      </w:r>
      <w:r>
        <w:t xml:space="preserve"> </w:t>
      </w:r>
      <w:r w:rsidR="005A31EB">
        <w:lastRenderedPageBreak/>
        <w:t>at</w:t>
      </w:r>
      <w:r w:rsidR="004C3F48">
        <w:t xml:space="preserve"> </w:t>
      </w:r>
      <w:r w:rsidR="005A31EB">
        <w:t xml:space="preserve">least </w:t>
      </w:r>
      <w:r w:rsidR="00D86630">
        <w:t xml:space="preserve">minimal </w:t>
      </w:r>
      <w:r w:rsidR="005A31EB">
        <w:t xml:space="preserve">levels of potential </w:t>
      </w:r>
      <w:r w:rsidR="00D86630">
        <w:t xml:space="preserve">for </w:t>
      </w:r>
      <w:r w:rsidR="005A31EB">
        <w:t>demand side response</w:t>
      </w:r>
      <w:r w:rsidR="004C3F48">
        <w:t xml:space="preserve"> in other Member States</w:t>
      </w:r>
      <w:r w:rsidR="005A31EB">
        <w:t xml:space="preserve">, insofar no undue barriers exist </w:t>
      </w:r>
      <w:r w:rsidR="00D86630">
        <w:t xml:space="preserve">for consumer </w:t>
      </w:r>
      <w:r w:rsidR="005A31EB">
        <w:t xml:space="preserve">participation). </w:t>
      </w:r>
    </w:p>
    <w:p w14:paraId="40FC0752" w14:textId="7690ADDE" w:rsidR="00BA2EB2" w:rsidRDefault="001C08CF" w:rsidP="00EB3908">
      <w:pPr>
        <w:jc w:val="both"/>
      </w:pPr>
      <w:r>
        <w:t xml:space="preserve">With respect to the notion of “Missing Capacity”, IFIEC Europe is of the </w:t>
      </w:r>
      <w:r w:rsidR="009C77D9">
        <w:t xml:space="preserve">opinion </w:t>
      </w:r>
      <w:r>
        <w:t xml:space="preserve">that this should be </w:t>
      </w:r>
      <w:r w:rsidR="008A01A2">
        <w:t xml:space="preserve">analysed </w:t>
      </w:r>
      <w:r>
        <w:t xml:space="preserve">in a multi-area setting, as a perimeter </w:t>
      </w:r>
      <w:r w:rsidR="004A30CA">
        <w:t xml:space="preserve">merely </w:t>
      </w:r>
      <w:r>
        <w:t>focusing on a single</w:t>
      </w:r>
      <w:r w:rsidR="004A30CA">
        <w:t>-</w:t>
      </w:r>
      <w:r>
        <w:t xml:space="preserve">area </w:t>
      </w:r>
      <w:r w:rsidR="004A30CA">
        <w:t xml:space="preserve">setting </w:t>
      </w:r>
      <w:r>
        <w:t xml:space="preserve">will lead to sub-optimal results, as no synergies </w:t>
      </w:r>
      <w:r w:rsidR="00523802">
        <w:t xml:space="preserve">between areas with different supply and demand patterns </w:t>
      </w:r>
      <w:r>
        <w:t>can be taken into account</w:t>
      </w:r>
      <w:r w:rsidR="00523802">
        <w:t>.</w:t>
      </w:r>
      <w:r>
        <w:t xml:space="preserve"> </w:t>
      </w:r>
      <w:r w:rsidR="00523802">
        <w:t xml:space="preserve">This </w:t>
      </w:r>
      <w:r>
        <w:t xml:space="preserve">would lead to </w:t>
      </w:r>
      <w:r w:rsidR="00523802">
        <w:t xml:space="preserve">unwarranted </w:t>
      </w:r>
      <w:r>
        <w:t xml:space="preserve">determination of adequacy concerns and potentially even the building of unnecessary capacity, to the detriment of </w:t>
      </w:r>
      <w:r w:rsidR="00BF48F5">
        <w:t xml:space="preserve">the </w:t>
      </w:r>
      <w:r>
        <w:t>consumer</w:t>
      </w:r>
      <w:r w:rsidR="009C77D9">
        <w:t>s through an increase in their</w:t>
      </w:r>
      <w:r>
        <w:t xml:space="preserve"> overall energy costs (in particular in the case of subsidised capacity remuneration mechanisms). IFIEC Europe regrets that the focus of ENTSO-e seems to be </w:t>
      </w:r>
      <w:r w:rsidR="00C41385">
        <w:t xml:space="preserve">exclusively </w:t>
      </w:r>
      <w:r>
        <w:t xml:space="preserve">(or at least </w:t>
      </w:r>
      <w:r w:rsidR="00C41385">
        <w:t>primarily</w:t>
      </w:r>
      <w:r>
        <w:t>) on generation assets</w:t>
      </w:r>
      <w:r>
        <w:rPr>
          <w:rStyle w:val="FootnoteReference"/>
        </w:rPr>
        <w:footnoteReference w:id="5"/>
      </w:r>
      <w:r>
        <w:t xml:space="preserve">, with less attention to the flexibility that for example (explicit and implicit) demand side response or storage can bring to the adequacy discussion, alleviating the potential need for generation capacity that would only be used </w:t>
      </w:r>
      <w:r w:rsidR="00C41385">
        <w:t xml:space="preserve">during </w:t>
      </w:r>
      <w:r>
        <w:t xml:space="preserve">very few hours and thus unduly increase the overall system cost. The whole section of the demand time series does not even mention demand side response at all! Demand side response is only very briefly mentioned (132 words!) in section 3.6 of the methodology, not distinguishing </w:t>
      </w:r>
      <w:r w:rsidR="00C41385">
        <w:t>whatsoever</w:t>
      </w:r>
      <w:r>
        <w:t xml:space="preserve"> between implicit and explicit demand response</w:t>
      </w:r>
      <w:r w:rsidR="005B6A83">
        <w:t>.</w:t>
      </w:r>
      <w:r>
        <w:t xml:space="preserve"> </w:t>
      </w:r>
      <w:r w:rsidR="00C41385">
        <w:t>T</w:t>
      </w:r>
      <w:r>
        <w:t xml:space="preserve">he section at first glance only refers to explicit demand response and does not provide any clarity on how demand side response is treated in the model, which data is provided by the TSOs and whether there is any alignment in the input data as regarding for example the potential for demand side response in the different Member States and the different assumptions that are probably used by TSOs. </w:t>
      </w:r>
      <w:r w:rsidR="005B6A83">
        <w:t xml:space="preserve">Section </w:t>
      </w:r>
      <w:r>
        <w:t xml:space="preserve">4.2 on specific data collection and model assumptions </w:t>
      </w:r>
      <w:r w:rsidR="005B6A83">
        <w:t xml:space="preserve">also </w:t>
      </w:r>
      <w:r>
        <w:t>remains very vague on how data is collected and which assumptions are used, while completely omitting demand side response.</w:t>
      </w:r>
    </w:p>
    <w:p w14:paraId="1FB19AC6" w14:textId="64C12F1D" w:rsidR="007A35DA" w:rsidRDefault="00111C8E" w:rsidP="00EB3908">
      <w:pPr>
        <w:jc w:val="both"/>
      </w:pPr>
      <w:r>
        <w:t xml:space="preserve">IFIEC Europe is categorically </w:t>
      </w:r>
      <w:r w:rsidR="0043395B">
        <w:t>opposed to</w:t>
      </w:r>
      <w:r>
        <w:t xml:space="preserve"> the methodological choice by ENTSO-e to </w:t>
      </w:r>
      <w:r w:rsidR="005B6A83">
        <w:t xml:space="preserve">explicitly </w:t>
      </w:r>
      <w:r w:rsidR="006713FE">
        <w:t xml:space="preserve">exclude </w:t>
      </w:r>
      <w:r w:rsidR="005B6A83">
        <w:t xml:space="preserve"> from </w:t>
      </w:r>
      <w:r w:rsidR="006713FE">
        <w:t>the MAF</w:t>
      </w:r>
      <w:r w:rsidR="005B6A83">
        <w:t xml:space="preserve"> the</w:t>
      </w:r>
      <w:r w:rsidR="006713FE">
        <w:t xml:space="preserve"> </w:t>
      </w:r>
      <w:r>
        <w:t xml:space="preserve">capacity markets and </w:t>
      </w:r>
      <w:r w:rsidR="005B6A83">
        <w:t xml:space="preserve">the </w:t>
      </w:r>
      <w:r>
        <w:t>out-of-market measures such as strategic reserves</w:t>
      </w:r>
      <w:r w:rsidR="005B6A83">
        <w:t>. IFIEC</w:t>
      </w:r>
      <w:r w:rsidR="0043395B">
        <w:t xml:space="preserve"> absolutely </w:t>
      </w:r>
      <w:r w:rsidR="005B6A83">
        <w:t>can</w:t>
      </w:r>
      <w:r w:rsidR="0043395B">
        <w:t>not accept that “</w:t>
      </w:r>
      <w:r w:rsidR="0043395B" w:rsidRPr="00596357">
        <w:rPr>
          <w:i/>
          <w:iCs/>
        </w:rPr>
        <w:t>out-of-market capacities</w:t>
      </w:r>
      <w:r w:rsidR="0043395B">
        <w:rPr>
          <w:i/>
          <w:iCs/>
        </w:rPr>
        <w:t>,</w:t>
      </w:r>
      <w:r w:rsidR="0043395B" w:rsidRPr="00596357">
        <w:rPr>
          <w:i/>
          <w:iCs/>
        </w:rPr>
        <w:t xml:space="preserve"> such as strat</w:t>
      </w:r>
      <w:r w:rsidR="0043395B">
        <w:rPr>
          <w:i/>
          <w:iCs/>
        </w:rPr>
        <w:t>egic</w:t>
      </w:r>
      <w:r w:rsidR="0043395B" w:rsidRPr="00596357">
        <w:rPr>
          <w:i/>
          <w:iCs/>
        </w:rPr>
        <w:t xml:space="preserve"> or grid reserves, are not considered in the optimisation problem</w:t>
      </w:r>
      <w:r w:rsidR="0043395B">
        <w:t>”, as this approach by ENTSO-e leads to a voluntary underestimat</w:t>
      </w:r>
      <w:r w:rsidR="005B6A83">
        <w:t>ion</w:t>
      </w:r>
      <w:r w:rsidR="0043395B">
        <w:t xml:space="preserve"> of the means available to counter adequacy concerns (in the case of strategic reserves, means explicitly constituted to avoid such concerns!)</w:t>
      </w:r>
      <w:r w:rsidR="005B6A83">
        <w:t>.</w:t>
      </w:r>
      <w:r w:rsidR="0043395B">
        <w:t xml:space="preserve"> </w:t>
      </w:r>
      <w:r w:rsidR="005B6A83">
        <w:t xml:space="preserve">This underestimation leads </w:t>
      </w:r>
      <w:r w:rsidR="0043395B">
        <w:t>to a</w:t>
      </w:r>
      <w:r w:rsidR="005B6A83">
        <w:t>n</w:t>
      </w:r>
      <w:r w:rsidR="0043395B">
        <w:t xml:space="preserve"> </w:t>
      </w:r>
      <w:r w:rsidR="005B6A83">
        <w:t>un</w:t>
      </w:r>
      <w:r w:rsidR="0043395B">
        <w:t xml:space="preserve">warranted indication of adequacy concerns, </w:t>
      </w:r>
      <w:r w:rsidR="005B6A83">
        <w:t xml:space="preserve">resulting in </w:t>
      </w:r>
      <w:r w:rsidR="0043395B">
        <w:t>potentially unnecessary and very costly additional measures (on top of the measures</w:t>
      </w:r>
      <w:r w:rsidR="005B6A83">
        <w:t xml:space="preserve"> not considered</w:t>
      </w:r>
      <w:r w:rsidR="0043395B">
        <w:t xml:space="preserve"> by ENTSO-e </w:t>
      </w:r>
      <w:r w:rsidR="005B6A83">
        <w:t xml:space="preserve">which </w:t>
      </w:r>
      <w:r w:rsidR="0043395B">
        <w:t>were put in place to alleviate adequacy concerns</w:t>
      </w:r>
      <w:r w:rsidR="0031209D">
        <w:t>!</w:t>
      </w:r>
      <w:r w:rsidR="0043395B">
        <w:t>), unduly negatively impacting consumer energy costs. IFIEC Europe also regrets to observe that “</w:t>
      </w:r>
      <w:r w:rsidR="0043395B" w:rsidRPr="00573F4E">
        <w:rPr>
          <w:i/>
          <w:iCs/>
        </w:rPr>
        <w:t>the MAF model considers neither capacity nor the balancing market explicitly</w:t>
      </w:r>
      <w:r w:rsidR="0043395B">
        <w:t>”, which goes even further in creating a</w:t>
      </w:r>
      <w:r w:rsidR="00FD56AC">
        <w:t>n illegitimate</w:t>
      </w:r>
      <w:r w:rsidR="0043395B">
        <w:t xml:space="preserve">  and undue sense of urgency by even further omitting measures taken by Member States to avoid adequacy concerns. As such, IFIEC Europe can under no circumstance accept that the “</w:t>
      </w:r>
      <w:r w:rsidR="0043395B" w:rsidRPr="00CA679A">
        <w:rPr>
          <w:i/>
          <w:iCs/>
        </w:rPr>
        <w:t xml:space="preserve">contribution of approved, existing and planned, CMs </w:t>
      </w:r>
      <w:r w:rsidR="0043395B">
        <w:rPr>
          <w:rStyle w:val="FootnoteReference"/>
          <w:b/>
          <w:bCs/>
          <w:i/>
          <w:iCs/>
        </w:rPr>
        <w:footnoteReference w:id="6"/>
      </w:r>
      <w:r w:rsidR="0043395B" w:rsidRPr="00CA679A">
        <w:rPr>
          <w:b/>
          <w:bCs/>
          <w:i/>
          <w:iCs/>
        </w:rPr>
        <w:t>might</w:t>
      </w:r>
      <w:r w:rsidR="0043395B" w:rsidRPr="00CA679A">
        <w:rPr>
          <w:i/>
          <w:iCs/>
        </w:rPr>
        <w:t xml:space="preserve"> be currently considered in the installed capacity for MAF on the part of </w:t>
      </w:r>
      <w:r w:rsidR="0043395B" w:rsidRPr="00CA679A">
        <w:rPr>
          <w:b/>
          <w:bCs/>
          <w:i/>
          <w:iCs/>
        </w:rPr>
        <w:t>some</w:t>
      </w:r>
      <w:r w:rsidR="0043395B" w:rsidRPr="00CA679A">
        <w:rPr>
          <w:i/>
          <w:iCs/>
        </w:rPr>
        <w:t xml:space="preserve"> TSOs</w:t>
      </w:r>
      <w:r w:rsidR="0043395B">
        <w:t xml:space="preserve">” </w:t>
      </w:r>
      <w:r w:rsidR="00244561">
        <w:t>[</w:t>
      </w:r>
      <w:r w:rsidR="0043395B">
        <w:t>bold by IFIEC Europe</w:t>
      </w:r>
      <w:r w:rsidR="00244561">
        <w:t xml:space="preserve">], </w:t>
      </w:r>
      <w:r w:rsidR="0043395B">
        <w:t xml:space="preserve">as these </w:t>
      </w:r>
      <w:r w:rsidR="0043395B" w:rsidRPr="00CA679A">
        <w:rPr>
          <w:b/>
          <w:bCs/>
        </w:rPr>
        <w:t>must</w:t>
      </w:r>
      <w:r w:rsidR="0043395B">
        <w:t xml:space="preserve"> be included by </w:t>
      </w:r>
      <w:r w:rsidR="0043395B" w:rsidRPr="00CA679A">
        <w:rPr>
          <w:b/>
          <w:bCs/>
        </w:rPr>
        <w:t>all</w:t>
      </w:r>
      <w:r w:rsidR="0043395B">
        <w:t xml:space="preserve"> TSOs in order to have a relevant assessment. </w:t>
      </w:r>
      <w:r>
        <w:t xml:space="preserve">IFIEC Europe adamantly opposes this approach, as this </w:t>
      </w:r>
      <w:r w:rsidR="006713FE">
        <w:t>implies</w:t>
      </w:r>
      <w:r>
        <w:t xml:space="preserve"> that </w:t>
      </w:r>
      <w:r w:rsidR="006713FE">
        <w:t xml:space="preserve">consumers are paying for adequacy related </w:t>
      </w:r>
      <w:r w:rsidR="001C08CF">
        <w:t xml:space="preserve">(strategic) </w:t>
      </w:r>
      <w:r w:rsidR="006713FE">
        <w:t xml:space="preserve">reserves </w:t>
      </w:r>
      <w:r>
        <w:t xml:space="preserve">in several Member States, often sold as insurance against adequacy </w:t>
      </w:r>
      <w:r>
        <w:lastRenderedPageBreak/>
        <w:t>concerns, while these (costly) measures are not even considered by EN</w:t>
      </w:r>
      <w:r w:rsidR="00244561">
        <w:t>T</w:t>
      </w:r>
      <w:r>
        <w:t>SO-e</w:t>
      </w:r>
      <w:r w:rsidR="006713FE">
        <w:t xml:space="preserve">. </w:t>
      </w:r>
      <w:r>
        <w:t xml:space="preserve">IFIEC Europe </w:t>
      </w:r>
      <w:r w:rsidR="00452D97">
        <w:t>considers this a fundamental and inexcusable flaw in the ENTSO-e methodology which renders all the results</w:t>
      </w:r>
      <w:r w:rsidR="001C08CF">
        <w:t xml:space="preserve"> and policy recommendations</w:t>
      </w:r>
      <w:r w:rsidR="00452D97">
        <w:t xml:space="preserve"> of the MAF analysis void and </w:t>
      </w:r>
      <w:r w:rsidR="00244561">
        <w:t>without</w:t>
      </w:r>
      <w:r w:rsidR="00452D97">
        <w:t xml:space="preserve"> value. </w:t>
      </w:r>
      <w:r w:rsidR="00232C11">
        <w:t>For IFIEC Europe, the methodolog</w:t>
      </w:r>
      <w:r w:rsidR="00244561">
        <w:t>y</w:t>
      </w:r>
      <w:r w:rsidR="00B408B6">
        <w:t xml:space="preserve"> choices</w:t>
      </w:r>
      <w:r w:rsidR="00232C11">
        <w:t xml:space="preserve"> of ENTSO-e fundamentally </w:t>
      </w:r>
      <w:r w:rsidR="00B408B6">
        <w:t>diverge from</w:t>
      </w:r>
      <w:r w:rsidR="00232C11">
        <w:t xml:space="preserve"> the </w:t>
      </w:r>
      <w:bookmarkStart w:id="0" w:name="_GoBack"/>
      <w:r w:rsidR="00232C11">
        <w:t xml:space="preserve">market liberalisation that was started in 1996, </w:t>
      </w:r>
      <w:r w:rsidR="00244561">
        <w:t xml:space="preserve">with Balancing Responsible Parties that have to guarantee that their portfolios are in balance at all moments and only residual imbalances being covered by the TSOs. The ENTSO-e methodology choices </w:t>
      </w:r>
      <w:r w:rsidR="00232C11">
        <w:t xml:space="preserve">shift the responsibility for system adequacy </w:t>
      </w:r>
      <w:r w:rsidR="00244561">
        <w:t xml:space="preserve">away </w:t>
      </w:r>
      <w:r w:rsidR="00232C11">
        <w:t xml:space="preserve">from </w:t>
      </w:r>
      <w:bookmarkEnd w:id="0"/>
      <w:r w:rsidR="00232C11">
        <w:t xml:space="preserve">the </w:t>
      </w:r>
      <w:r w:rsidR="00B408B6">
        <w:t>market</w:t>
      </w:r>
      <w:r w:rsidR="00244561">
        <w:t>.</w:t>
      </w:r>
      <w:r w:rsidR="00B408B6">
        <w:t xml:space="preserve"> </w:t>
      </w:r>
    </w:p>
    <w:p w14:paraId="7B8B6A6E" w14:textId="6CE032B2" w:rsidR="000B4F42" w:rsidRDefault="00354113" w:rsidP="00EB3908">
      <w:pPr>
        <w:jc w:val="both"/>
      </w:pPr>
      <w:r>
        <w:t xml:space="preserve">With respect to the future evolution of the pan-European adequacy assessment, IFIFEC Europe is looking forward to the European Resource </w:t>
      </w:r>
      <w:r w:rsidR="007A35DA">
        <w:t>Adequacy</w:t>
      </w:r>
      <w:r>
        <w:t xml:space="preserve"> </w:t>
      </w:r>
      <w:r w:rsidR="007A35DA">
        <w:t>Assessment</w:t>
      </w:r>
      <w:r>
        <w:t xml:space="preserve"> (ERAA) and hopes that this methodology improves on the MAF methodology, not </w:t>
      </w:r>
      <w:r w:rsidR="007A35DA">
        <w:t>in</w:t>
      </w:r>
      <w:r>
        <w:t xml:space="preserve"> the least o</w:t>
      </w:r>
      <w:r w:rsidR="007A35DA">
        <w:t>n</w:t>
      </w:r>
      <w:r>
        <w:t xml:space="preserve"> the aforementioned elements. IFIEC Europe hopes to be actively involved in the development of the five new </w:t>
      </w:r>
      <w:r w:rsidR="007A35DA">
        <w:t>methodologies</w:t>
      </w:r>
      <w:r>
        <w:t xml:space="preserve"> that need to be developed </w:t>
      </w:r>
      <w:r w:rsidR="00CA679A">
        <w:t>within</w:t>
      </w:r>
      <w:r>
        <w:t xml:space="preserve"> six to twelve months after the Clean Energy Package’s entry into force. IFIEC Europe is also interested</w:t>
      </w:r>
      <w:r w:rsidR="00244561">
        <w:t xml:space="preserve"> in seeing </w:t>
      </w:r>
      <w:r>
        <w:t xml:space="preserve">how certain </w:t>
      </w:r>
      <w:r w:rsidR="00CA679A">
        <w:t>elements</w:t>
      </w:r>
      <w:r>
        <w:t xml:space="preserve"> of the Clean Energy Package, such as </w:t>
      </w:r>
      <w:r w:rsidR="00935C47">
        <w:t>the</w:t>
      </w:r>
      <w:r>
        <w:t xml:space="preserve"> 70% cross-border capacity, will be integrated in </w:t>
      </w:r>
      <w:r w:rsidR="00935C47">
        <w:t xml:space="preserve">both the ERAA and the MAF adequacy methodologies. </w:t>
      </w:r>
    </w:p>
    <w:p w14:paraId="2E7EE942" w14:textId="77777777" w:rsidR="00AC69C9" w:rsidRDefault="00AC69C9" w:rsidP="00EB3908">
      <w:pPr>
        <w:jc w:val="both"/>
      </w:pPr>
    </w:p>
    <w:p w14:paraId="55C76703" w14:textId="77777777" w:rsidR="00DD7742" w:rsidRDefault="00DD7742" w:rsidP="00EB3908">
      <w:pPr>
        <w:jc w:val="both"/>
      </w:pPr>
    </w:p>
    <w:p w14:paraId="5DC7B65B" w14:textId="77777777" w:rsidR="00DD7742" w:rsidRDefault="00DD7742" w:rsidP="00EB3908">
      <w:pPr>
        <w:jc w:val="both"/>
      </w:pPr>
    </w:p>
    <w:sectPr w:rsidR="00DD7742" w:rsidSect="00236F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D66A3" w14:textId="77777777" w:rsidR="00075367" w:rsidRDefault="00075367" w:rsidP="00CA507D">
      <w:pPr>
        <w:spacing w:after="0" w:line="240" w:lineRule="auto"/>
      </w:pPr>
      <w:r>
        <w:separator/>
      </w:r>
    </w:p>
  </w:endnote>
  <w:endnote w:type="continuationSeparator" w:id="0">
    <w:p w14:paraId="51114641" w14:textId="77777777" w:rsidR="00075367" w:rsidRDefault="00075367" w:rsidP="00CA507D">
      <w:pPr>
        <w:spacing w:after="0" w:line="240" w:lineRule="auto"/>
      </w:pPr>
      <w:r>
        <w:continuationSeparator/>
      </w:r>
    </w:p>
  </w:endnote>
  <w:endnote w:type="continuationNotice" w:id="1">
    <w:p w14:paraId="5B5AB94A" w14:textId="77777777" w:rsidR="00075367" w:rsidRDefault="00075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9E82D" w14:textId="77777777" w:rsidR="00075367" w:rsidRDefault="00075367" w:rsidP="00CA507D">
      <w:pPr>
        <w:spacing w:after="0" w:line="240" w:lineRule="auto"/>
      </w:pPr>
      <w:r>
        <w:separator/>
      </w:r>
    </w:p>
  </w:footnote>
  <w:footnote w:type="continuationSeparator" w:id="0">
    <w:p w14:paraId="00508990" w14:textId="77777777" w:rsidR="00075367" w:rsidRDefault="00075367" w:rsidP="00CA507D">
      <w:pPr>
        <w:spacing w:after="0" w:line="240" w:lineRule="auto"/>
      </w:pPr>
      <w:r>
        <w:continuationSeparator/>
      </w:r>
    </w:p>
  </w:footnote>
  <w:footnote w:type="continuationNotice" w:id="1">
    <w:p w14:paraId="571378BF" w14:textId="77777777" w:rsidR="00075367" w:rsidRDefault="00075367">
      <w:pPr>
        <w:spacing w:after="0" w:line="240" w:lineRule="auto"/>
      </w:pPr>
    </w:p>
  </w:footnote>
  <w:footnote w:id="2">
    <w:p w14:paraId="073E5854" w14:textId="77777777" w:rsidR="006E14AA" w:rsidRDefault="006E14AA">
      <w:pPr>
        <w:pStyle w:val="FootnoteText"/>
      </w:pPr>
      <w:r>
        <w:rPr>
          <w:rStyle w:val="FootnoteReference"/>
        </w:rPr>
        <w:footnoteRef/>
      </w:r>
      <w:r>
        <w:t xml:space="preserve"> First notified to ENTSO-e by e-mail on 23/12/2019, but only rectified on 13/01/2020 by ENTSO-e</w:t>
      </w:r>
    </w:p>
  </w:footnote>
  <w:footnote w:id="3">
    <w:p w14:paraId="7DCF4715" w14:textId="77777777" w:rsidR="00083C72" w:rsidRDefault="00083C72">
      <w:pPr>
        <w:pStyle w:val="FootnoteText"/>
      </w:pPr>
      <w:r>
        <w:rPr>
          <w:rStyle w:val="FootnoteReference"/>
        </w:rPr>
        <w:footnoteRef/>
      </w:r>
      <w:r>
        <w:t xml:space="preserve"> </w:t>
      </w:r>
      <w:r w:rsidRPr="00083C72">
        <w:rPr>
          <w:i/>
          <w:iCs/>
        </w:rPr>
        <w:t>bold added by IFIEC Europe</w:t>
      </w:r>
    </w:p>
  </w:footnote>
  <w:footnote w:id="4">
    <w:p w14:paraId="13E6F627" w14:textId="77777777" w:rsidR="00083C72" w:rsidRDefault="00083C72">
      <w:pPr>
        <w:pStyle w:val="FootnoteText"/>
      </w:pPr>
      <w:r>
        <w:rPr>
          <w:rStyle w:val="FootnoteReference"/>
        </w:rPr>
        <w:footnoteRef/>
      </w:r>
      <w:r>
        <w:t xml:space="preserve"> </w:t>
      </w:r>
      <w:r w:rsidRPr="00083C72">
        <w:rPr>
          <w:i/>
          <w:iCs/>
        </w:rPr>
        <w:t>bold added by IFIEC Europe</w:t>
      </w:r>
    </w:p>
  </w:footnote>
  <w:footnote w:id="5">
    <w:p w14:paraId="1E7E0405" w14:textId="77777777" w:rsidR="001C08CF" w:rsidRDefault="001C08CF" w:rsidP="001C08CF">
      <w:pPr>
        <w:pStyle w:val="FootnoteText"/>
      </w:pPr>
      <w:r>
        <w:rPr>
          <w:rStyle w:val="FootnoteReference"/>
        </w:rPr>
        <w:footnoteRef/>
      </w:r>
      <w:r>
        <w:t xml:space="preserve"> E.g. at the bottom of page 17 of Appendix 2, where ENTSO-e states “</w:t>
      </w:r>
      <w:r w:rsidRPr="00CA507D">
        <w:rPr>
          <w:i/>
          <w:iCs/>
        </w:rPr>
        <w:t>A single-area approach with local generation</w:t>
      </w:r>
      <w:r>
        <w:t>” or “</w:t>
      </w:r>
      <w:r w:rsidRPr="00CA507D">
        <w:rPr>
          <w:i/>
          <w:iCs/>
        </w:rPr>
        <w:t>Multi-area approach with generation expansion</w:t>
      </w:r>
      <w:r>
        <w:t>”, without mentioning any other sources of flexibility. The same applies for the comprehensive datasets for the MAF (the PEMMDB), where the focus lies on generation, with some attention for “</w:t>
      </w:r>
      <w:r w:rsidRPr="002117A3">
        <w:rPr>
          <w:i/>
          <w:iCs/>
        </w:rPr>
        <w:t>electric vehicle penetration, heat pump penetration, new technologies</w:t>
      </w:r>
      <w:r>
        <w:rPr>
          <w:i/>
          <w:iCs/>
        </w:rPr>
        <w:t>,</w:t>
      </w:r>
      <w:r w:rsidRPr="002117A3">
        <w:rPr>
          <w:i/>
          <w:iCs/>
        </w:rPr>
        <w:t xml:space="preserve"> battery storage</w:t>
      </w:r>
      <w:r>
        <w:t>”, but where demand side response (explicit or implicit) is not mentioned (except presumably for the few cases enumerated) despite the active contribution already today of demand side response to the adequacy discussions in Europe.</w:t>
      </w:r>
    </w:p>
  </w:footnote>
  <w:footnote w:id="6">
    <w:p w14:paraId="636D0317" w14:textId="77777777" w:rsidR="0043395B" w:rsidRDefault="0043395B" w:rsidP="0043395B">
      <w:pPr>
        <w:pStyle w:val="FootnoteText"/>
      </w:pPr>
      <w:r>
        <w:rPr>
          <w:rStyle w:val="FootnoteReference"/>
        </w:rPr>
        <w:footnoteRef/>
      </w:r>
      <w:r>
        <w:t xml:space="preserve"> Capacity Mechanisms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42"/>
    <w:rsid w:val="00014D95"/>
    <w:rsid w:val="000251E9"/>
    <w:rsid w:val="00075367"/>
    <w:rsid w:val="00083C72"/>
    <w:rsid w:val="000B4F42"/>
    <w:rsid w:val="00104D9F"/>
    <w:rsid w:val="00111C8E"/>
    <w:rsid w:val="0012071B"/>
    <w:rsid w:val="001B796C"/>
    <w:rsid w:val="001C08CF"/>
    <w:rsid w:val="002117A3"/>
    <w:rsid w:val="00232C11"/>
    <w:rsid w:val="00236F5B"/>
    <w:rsid w:val="00244561"/>
    <w:rsid w:val="00263F8A"/>
    <w:rsid w:val="0031209D"/>
    <w:rsid w:val="003124E1"/>
    <w:rsid w:val="00333642"/>
    <w:rsid w:val="00354113"/>
    <w:rsid w:val="003E65DA"/>
    <w:rsid w:val="00401305"/>
    <w:rsid w:val="0043395B"/>
    <w:rsid w:val="00452D97"/>
    <w:rsid w:val="004A30CA"/>
    <w:rsid w:val="004C3F48"/>
    <w:rsid w:val="00523802"/>
    <w:rsid w:val="00532EE6"/>
    <w:rsid w:val="005677E2"/>
    <w:rsid w:val="00573F4E"/>
    <w:rsid w:val="00596357"/>
    <w:rsid w:val="005A31EB"/>
    <w:rsid w:val="005B6A83"/>
    <w:rsid w:val="006713FE"/>
    <w:rsid w:val="006E14AA"/>
    <w:rsid w:val="007A35DA"/>
    <w:rsid w:val="00812EC3"/>
    <w:rsid w:val="008A01A2"/>
    <w:rsid w:val="008E05E2"/>
    <w:rsid w:val="00935C47"/>
    <w:rsid w:val="009C77D9"/>
    <w:rsid w:val="009D29A8"/>
    <w:rsid w:val="009E5E70"/>
    <w:rsid w:val="00A02BB9"/>
    <w:rsid w:val="00A95160"/>
    <w:rsid w:val="00AC69C9"/>
    <w:rsid w:val="00B06619"/>
    <w:rsid w:val="00B408B6"/>
    <w:rsid w:val="00B8399E"/>
    <w:rsid w:val="00B83BB9"/>
    <w:rsid w:val="00BA2EB2"/>
    <w:rsid w:val="00BF48F5"/>
    <w:rsid w:val="00C41385"/>
    <w:rsid w:val="00C43B91"/>
    <w:rsid w:val="00C54433"/>
    <w:rsid w:val="00CA507D"/>
    <w:rsid w:val="00CA679A"/>
    <w:rsid w:val="00D86630"/>
    <w:rsid w:val="00DD7742"/>
    <w:rsid w:val="00EA25DA"/>
    <w:rsid w:val="00EB3908"/>
    <w:rsid w:val="00ED00DF"/>
    <w:rsid w:val="00EE14F4"/>
    <w:rsid w:val="00F44BC1"/>
    <w:rsid w:val="00FB1C05"/>
    <w:rsid w:val="00FD56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934A"/>
  <w15:chartTrackingRefBased/>
  <w15:docId w15:val="{9562B6EE-4A7C-43AC-AA94-39FDA32F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F8A"/>
    <w:rPr>
      <w:color w:val="0563C1" w:themeColor="hyperlink"/>
      <w:u w:val="single"/>
    </w:rPr>
  </w:style>
  <w:style w:type="character" w:styleId="UnresolvedMention">
    <w:name w:val="Unresolved Mention"/>
    <w:basedOn w:val="DefaultParagraphFont"/>
    <w:uiPriority w:val="99"/>
    <w:semiHidden/>
    <w:unhideWhenUsed/>
    <w:rsid w:val="00263F8A"/>
    <w:rPr>
      <w:color w:val="605E5C"/>
      <w:shd w:val="clear" w:color="auto" w:fill="E1DFDD"/>
    </w:rPr>
  </w:style>
  <w:style w:type="paragraph" w:styleId="FootnoteText">
    <w:name w:val="footnote text"/>
    <w:basedOn w:val="Normal"/>
    <w:link w:val="FootnoteTextChar"/>
    <w:uiPriority w:val="99"/>
    <w:semiHidden/>
    <w:unhideWhenUsed/>
    <w:rsid w:val="00CA5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07D"/>
    <w:rPr>
      <w:sz w:val="20"/>
      <w:szCs w:val="20"/>
    </w:rPr>
  </w:style>
  <w:style w:type="character" w:styleId="FootnoteReference">
    <w:name w:val="footnote reference"/>
    <w:basedOn w:val="DefaultParagraphFont"/>
    <w:uiPriority w:val="99"/>
    <w:semiHidden/>
    <w:unhideWhenUsed/>
    <w:rsid w:val="00CA507D"/>
    <w:rPr>
      <w:vertAlign w:val="superscript"/>
    </w:rPr>
  </w:style>
  <w:style w:type="character" w:styleId="CommentReference">
    <w:name w:val="annotation reference"/>
    <w:basedOn w:val="DefaultParagraphFont"/>
    <w:uiPriority w:val="99"/>
    <w:semiHidden/>
    <w:unhideWhenUsed/>
    <w:rsid w:val="00104D9F"/>
    <w:rPr>
      <w:sz w:val="16"/>
      <w:szCs w:val="16"/>
    </w:rPr>
  </w:style>
  <w:style w:type="paragraph" w:styleId="CommentText">
    <w:name w:val="annotation text"/>
    <w:basedOn w:val="Normal"/>
    <w:link w:val="CommentTextChar"/>
    <w:uiPriority w:val="99"/>
    <w:semiHidden/>
    <w:unhideWhenUsed/>
    <w:rsid w:val="00104D9F"/>
    <w:pPr>
      <w:spacing w:line="240" w:lineRule="auto"/>
    </w:pPr>
    <w:rPr>
      <w:sz w:val="20"/>
      <w:szCs w:val="20"/>
    </w:rPr>
  </w:style>
  <w:style w:type="character" w:customStyle="1" w:styleId="CommentTextChar">
    <w:name w:val="Comment Text Char"/>
    <w:basedOn w:val="DefaultParagraphFont"/>
    <w:link w:val="CommentText"/>
    <w:uiPriority w:val="99"/>
    <w:semiHidden/>
    <w:rsid w:val="00104D9F"/>
    <w:rPr>
      <w:sz w:val="20"/>
      <w:szCs w:val="20"/>
    </w:rPr>
  </w:style>
  <w:style w:type="paragraph" w:styleId="CommentSubject">
    <w:name w:val="annotation subject"/>
    <w:basedOn w:val="CommentText"/>
    <w:next w:val="CommentText"/>
    <w:link w:val="CommentSubjectChar"/>
    <w:uiPriority w:val="99"/>
    <w:semiHidden/>
    <w:unhideWhenUsed/>
    <w:rsid w:val="00104D9F"/>
    <w:rPr>
      <w:b/>
      <w:bCs/>
    </w:rPr>
  </w:style>
  <w:style w:type="character" w:customStyle="1" w:styleId="CommentSubjectChar">
    <w:name w:val="Comment Subject Char"/>
    <w:basedOn w:val="CommentTextChar"/>
    <w:link w:val="CommentSubject"/>
    <w:uiPriority w:val="99"/>
    <w:semiHidden/>
    <w:rsid w:val="00104D9F"/>
    <w:rPr>
      <w:b/>
      <w:bCs/>
      <w:sz w:val="20"/>
      <w:szCs w:val="20"/>
    </w:rPr>
  </w:style>
  <w:style w:type="paragraph" w:styleId="BalloonText">
    <w:name w:val="Balloon Text"/>
    <w:basedOn w:val="Normal"/>
    <w:link w:val="BalloonTextChar"/>
    <w:uiPriority w:val="99"/>
    <w:semiHidden/>
    <w:unhideWhenUsed/>
    <w:rsid w:val="0010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D9F"/>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5367"/>
    <w:rPr>
      <w:color w:val="605E5C"/>
      <w:shd w:val="clear" w:color="auto" w:fill="E1DFDD"/>
    </w:rPr>
  </w:style>
  <w:style w:type="paragraph" w:styleId="Header">
    <w:name w:val="header"/>
    <w:basedOn w:val="Normal"/>
    <w:link w:val="HeaderChar"/>
    <w:uiPriority w:val="99"/>
    <w:unhideWhenUsed/>
    <w:rsid w:val="00075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367"/>
  </w:style>
  <w:style w:type="paragraph" w:styleId="Footer">
    <w:name w:val="footer"/>
    <w:basedOn w:val="Normal"/>
    <w:link w:val="FooterChar"/>
    <w:uiPriority w:val="99"/>
    <w:unhideWhenUsed/>
    <w:rsid w:val="00075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367"/>
  </w:style>
  <w:style w:type="paragraph" w:styleId="Revision">
    <w:name w:val="Revision"/>
    <w:hidden/>
    <w:uiPriority w:val="99"/>
    <w:semiHidden/>
    <w:rsid w:val="000753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3FC0E-6A81-497A-A829-D6ABF470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7485</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Bossuyt Michael</dc:creator>
  <cp:keywords/>
  <dc:description/>
  <cp:lastModifiedBy>Van Bossuyt Michael</cp:lastModifiedBy>
  <cp:revision>2</cp:revision>
  <cp:lastPrinted>2020-01-14T09:25:00Z</cp:lastPrinted>
  <dcterms:created xsi:type="dcterms:W3CDTF">2020-01-15T09:16:00Z</dcterms:created>
  <dcterms:modified xsi:type="dcterms:W3CDTF">2020-01-16T10:47:00Z</dcterms:modified>
</cp:coreProperties>
</file>